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016B90" w:rsidTr="00982D4B">
        <w:tc>
          <w:tcPr>
            <w:tcW w:w="9610" w:type="dxa"/>
          </w:tcPr>
          <w:p w:rsidR="00C13D63" w:rsidRPr="0065753A" w:rsidRDefault="00C13D63" w:rsidP="00C13D63">
            <w:pPr>
              <w:rPr>
                <w:rFonts w:ascii="Verdana" w:hAnsi="Verdana" w:cs="Arial"/>
                <w:b/>
                <w:sz w:val="20"/>
                <w:szCs w:val="20"/>
                <w:lang w:val="it-IT"/>
              </w:rPr>
            </w:pPr>
          </w:p>
          <w:tbl>
            <w:tblPr>
              <w:tblW w:w="9610" w:type="dxa"/>
              <w:tblLayout w:type="fixed"/>
              <w:tblCellMar>
                <w:left w:w="70" w:type="dxa"/>
                <w:right w:w="70" w:type="dxa"/>
              </w:tblCellMar>
              <w:tblLook w:val="01E0" w:firstRow="1" w:lastRow="1" w:firstColumn="1" w:lastColumn="1" w:noHBand="0" w:noVBand="0"/>
            </w:tblPr>
            <w:tblGrid>
              <w:gridCol w:w="9610"/>
            </w:tblGrid>
            <w:tr w:rsidR="00C13D63" w:rsidRPr="00016B90" w:rsidTr="00BE2630">
              <w:tc>
                <w:tcPr>
                  <w:tcW w:w="9610" w:type="dxa"/>
                </w:tcPr>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470E01" w:rsidRPr="00103B7A" w:rsidRDefault="00470E01" w:rsidP="00470E01">
                  <w:pPr>
                    <w:pStyle w:val="Titolo"/>
                    <w:spacing w:after="60" w:line="360" w:lineRule="auto"/>
                    <w:rPr>
                      <w:rFonts w:ascii="Verdana" w:hAnsi="Verdana" w:cs="Verdana-Bold"/>
                      <w:b w:val="0"/>
                      <w:bCs/>
                      <w:sz w:val="20"/>
                    </w:rPr>
                  </w:pPr>
                  <w:r w:rsidRPr="00103B7A">
                    <w:rPr>
                      <w:rFonts w:ascii="Verdana" w:hAnsi="Verdana" w:cs="Verdana-Bold"/>
                      <w:b w:val="0"/>
                      <w:bCs/>
                      <w:sz w:val="20"/>
                    </w:rPr>
                    <w:t>Direzione Centrale Acquisti e Appalti</w:t>
                  </w:r>
                </w:p>
                <w:p w:rsidR="00470E01" w:rsidRPr="00103B7A" w:rsidRDefault="00470E01" w:rsidP="00470E01">
                  <w:pPr>
                    <w:pStyle w:val="Titolo"/>
                    <w:spacing w:after="60" w:line="360" w:lineRule="auto"/>
                    <w:rPr>
                      <w:rFonts w:ascii="Verdana" w:hAnsi="Verdana" w:cs="Verdana-Bold"/>
                      <w:sz w:val="20"/>
                    </w:rPr>
                  </w:pPr>
                  <w:r w:rsidRPr="00103B7A">
                    <w:rPr>
                      <w:rFonts w:ascii="Verdana" w:hAnsi="Verdana" w:cs="Verdana-Bold"/>
                      <w:sz w:val="20"/>
                    </w:rPr>
                    <w:t>CENTRALE ACQUISTI</w:t>
                  </w:r>
                </w:p>
                <w:p w:rsidR="00C13D63" w:rsidRPr="00915746" w:rsidRDefault="00C13D63" w:rsidP="00C13D63">
                  <w:pPr>
                    <w:pStyle w:val="Titolo"/>
                    <w:spacing w:after="60" w:line="360" w:lineRule="auto"/>
                    <w:rPr>
                      <w:rFonts w:ascii="Verdana" w:hAnsi="Verdana" w:cs="Verdana"/>
                      <w:sz w:val="20"/>
                    </w:rPr>
                  </w:pPr>
                </w:p>
              </w:tc>
            </w:tr>
          </w:tbl>
          <w:p w:rsidR="00915746" w:rsidRPr="00915746" w:rsidRDefault="00915746" w:rsidP="00982D4B">
            <w:pPr>
              <w:pStyle w:val="Titolo"/>
              <w:spacing w:after="60" w:line="360" w:lineRule="auto"/>
              <w:rPr>
                <w:rFonts w:ascii="Verdana" w:hAnsi="Verdana" w:cs="Verdana"/>
                <w:sz w:val="20"/>
              </w:rPr>
            </w:pPr>
          </w:p>
        </w:tc>
      </w:tr>
      <w:tr w:rsidR="00915746" w:rsidRPr="00016B90"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B67BD" w:rsidTr="00CD6113">
        <w:trPr>
          <w:trHeight w:val="5073"/>
        </w:trPr>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C13D63" w:rsidRPr="00C13D63" w:rsidRDefault="00DB16C8" w:rsidP="00C13D63">
            <w:pPr>
              <w:spacing w:line="360" w:lineRule="auto"/>
              <w:jc w:val="center"/>
              <w:rPr>
                <w:rFonts w:ascii="Verdana" w:hAnsi="Verdana"/>
                <w:sz w:val="20"/>
                <w:szCs w:val="20"/>
                <w:lang w:val="it-IT" w:eastAsia="it-IT" w:bidi="it-IT"/>
              </w:rPr>
            </w:pPr>
            <w:r w:rsidRPr="00DB16C8">
              <w:rPr>
                <w:rFonts w:ascii="Verdana" w:hAnsi="Verdana"/>
                <w:b/>
                <w:sz w:val="20"/>
                <w:szCs w:val="20"/>
                <w:lang w:val="it-IT"/>
              </w:rPr>
              <w:t xml:space="preserve">Procedura </w:t>
            </w:r>
            <w:r w:rsidR="00C13D63" w:rsidRPr="00C13D63">
              <w:rPr>
                <w:rFonts w:ascii="Verdana" w:hAnsi="Verdana"/>
                <w:b/>
                <w:sz w:val="20"/>
                <w:szCs w:val="20"/>
                <w:lang w:val="it-IT"/>
              </w:rPr>
              <w:t xml:space="preserve">aperta in ambito comunitario, ai sensi dell’art. 60 del </w:t>
            </w:r>
            <w:proofErr w:type="spellStart"/>
            <w:r w:rsidR="00C13D63" w:rsidRPr="00C13D63">
              <w:rPr>
                <w:rFonts w:ascii="Verdana" w:hAnsi="Verdana"/>
                <w:b/>
                <w:sz w:val="20"/>
                <w:szCs w:val="20"/>
                <w:lang w:val="it-IT"/>
              </w:rPr>
              <w:t>D.Lgs.</w:t>
            </w:r>
            <w:proofErr w:type="spellEnd"/>
            <w:r w:rsidR="00C13D63" w:rsidRPr="00C13D63">
              <w:rPr>
                <w:rFonts w:ascii="Verdana" w:hAnsi="Verdana"/>
                <w:b/>
                <w:sz w:val="20"/>
                <w:szCs w:val="20"/>
                <w:lang w:val="it-IT"/>
              </w:rPr>
              <w:t xml:space="preserve"> n. 50/2016, volta all’affidamento del «</w:t>
            </w:r>
            <w:r w:rsidR="00C13D63" w:rsidRPr="00C13D63">
              <w:rPr>
                <w:rFonts w:ascii="Verdana" w:hAnsi="Verdana"/>
                <w:b/>
                <w:i/>
                <w:sz w:val="20"/>
                <w:szCs w:val="20"/>
                <w:lang w:val="it-IT"/>
              </w:rPr>
              <w:t>Servizio di vigilanza</w:t>
            </w:r>
            <w:r w:rsidR="008245F0" w:rsidRPr="008245F0">
              <w:rPr>
                <w:rFonts w:ascii="Verdana" w:hAnsi="Verdana"/>
                <w:b/>
                <w:i/>
                <w:sz w:val="20"/>
                <w:szCs w:val="20"/>
                <w:lang w:val="it-IT"/>
              </w:rPr>
              <w:t>, comprensivo della gestione del sistema informativo della sicurezza, presso gli immobili della Direzione Generale dell’INPS</w:t>
            </w:r>
            <w:r w:rsidR="00C13D63" w:rsidRPr="00C13D63">
              <w:rPr>
                <w:rFonts w:ascii="Verdana" w:hAnsi="Verdana"/>
                <w:b/>
                <w:sz w:val="20"/>
                <w:szCs w:val="20"/>
                <w:lang w:val="it-IT"/>
              </w:rPr>
              <w:t>»</w:t>
            </w:r>
          </w:p>
          <w:p w:rsidR="00104512" w:rsidRPr="00104512" w:rsidRDefault="00104512" w:rsidP="00104512">
            <w:pPr>
              <w:spacing w:line="360" w:lineRule="auto"/>
              <w:jc w:val="center"/>
              <w:rPr>
                <w:rFonts w:ascii="Verdana" w:hAnsi="Verdana"/>
                <w:b/>
                <w:sz w:val="20"/>
                <w:szCs w:val="20"/>
                <w:lang w:val="it-IT"/>
              </w:rPr>
            </w:pP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B609FD" w:rsidRDefault="00B609FD" w:rsidP="00CD6113">
      <w:pPr>
        <w:tabs>
          <w:tab w:val="left" w:pos="7500"/>
        </w:tabs>
        <w:spacing w:after="60" w:line="360" w:lineRule="auto"/>
        <w:rPr>
          <w:rFonts w:ascii="Verdana" w:hAnsi="Verdana" w:cs="Verdana"/>
          <w:b/>
          <w:bCs/>
          <w:lang w:val="it-IT"/>
        </w:rPr>
      </w:pPr>
    </w:p>
    <w:p w:rsidR="000F1EBA" w:rsidRDefault="000F1EBA" w:rsidP="00CD6113">
      <w:pPr>
        <w:tabs>
          <w:tab w:val="left" w:pos="7500"/>
        </w:tabs>
        <w:spacing w:after="60" w:line="360" w:lineRule="auto"/>
        <w:rPr>
          <w:rFonts w:ascii="Verdana" w:hAnsi="Verdana" w:cs="Verdana"/>
          <w:b/>
          <w:bCs/>
          <w:lang w:val="it-IT"/>
        </w:rPr>
      </w:pPr>
    </w:p>
    <w:p w:rsidR="000F1EBA" w:rsidRPr="00CD6113" w:rsidRDefault="000F1EBA" w:rsidP="00CD6113">
      <w:pPr>
        <w:tabs>
          <w:tab w:val="left" w:pos="7500"/>
        </w:tabs>
        <w:spacing w:after="60" w:line="360" w:lineRule="auto"/>
        <w:rPr>
          <w:rFonts w:ascii="Verdana" w:hAnsi="Verdana" w:cs="Verdana"/>
          <w:b/>
          <w:bCs/>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B67B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BB67B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lastRenderedPageBreak/>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w:t>
      </w:r>
      <w:r w:rsidR="00F0698E">
        <w:rPr>
          <w:rFonts w:ascii="Verdana" w:hAnsi="Verdana" w:cs="Arial"/>
          <w:sz w:val="20"/>
          <w:szCs w:val="20"/>
          <w:lang w:val="it-IT"/>
        </w:rPr>
        <w:t>institori e procuratori generali</w:t>
      </w:r>
      <w:r>
        <w:rPr>
          <w:rFonts w:ascii="Verdana" w:hAnsi="Verdana" w:cs="Arial"/>
          <w:sz w:val="20"/>
          <w:szCs w:val="20"/>
          <w:lang w:val="it-IT"/>
        </w:rPr>
        <w:t xml:space="preserv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1D2CF2">
        <w:rPr>
          <w:rFonts w:ascii="Verdana" w:hAnsi="Verdana" w:cs="Arial"/>
          <w:b/>
          <w:sz w:val="20"/>
          <w:szCs w:val="20"/>
          <w:lang w:val="it-IT"/>
        </w:rPr>
        <w:t xml:space="preserve">anche </w:t>
      </w:r>
      <w:r w:rsidRPr="001D2CF2">
        <w:rPr>
          <w:rFonts w:ascii="Verdana" w:hAnsi="Verdana" w:cs="Arial"/>
          <w:b/>
          <w:sz w:val="20"/>
          <w:szCs w:val="20"/>
          <w:lang w:val="it-IT"/>
        </w:rPr>
        <w:t xml:space="preserve">al Comunicato A.N.A.C. del 26 ottobre 2016, come </w:t>
      </w:r>
      <w:r w:rsidR="007040F3">
        <w:rPr>
          <w:rFonts w:ascii="Verdana" w:hAnsi="Verdana" w:cs="Arial"/>
          <w:b/>
          <w:sz w:val="20"/>
          <w:szCs w:val="20"/>
          <w:lang w:val="it-IT"/>
        </w:rPr>
        <w:t>specificato anche nella</w:t>
      </w:r>
      <w:r w:rsidRPr="001D2CF2">
        <w:rPr>
          <w:rFonts w:ascii="Verdana" w:hAnsi="Verdana"/>
          <w:b/>
          <w:sz w:val="20"/>
          <w:lang w:val="it-IT"/>
        </w:rPr>
        <w:t xml:space="preserve"> nota di compilazione n. </w:t>
      </w:r>
      <w:r w:rsidRPr="001D2CF2">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111465" w:rsidRPr="00F54104" w:rsidRDefault="00111465" w:rsidP="00E432F4">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lastRenderedPageBreak/>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t>[</w:t>
      </w:r>
      <w:r w:rsidRPr="001D2CF2">
        <w:rPr>
          <w:rFonts w:ascii="Verdana" w:hAnsi="Verdana" w:cs="Arial"/>
          <w:b/>
          <w:sz w:val="20"/>
          <w:szCs w:val="20"/>
          <w:lang w:val="it-IT"/>
        </w:rPr>
        <w:t>attenzione: indicare tutti i provvedimenti di condanna</w:t>
      </w:r>
      <w:r w:rsidR="0077270F" w:rsidRPr="001D2CF2">
        <w:rPr>
          <w:rFonts w:ascii="Verdana" w:hAnsi="Verdana" w:cs="Arial"/>
          <w:b/>
          <w:sz w:val="20"/>
          <w:szCs w:val="20"/>
          <w:lang w:val="it-IT"/>
        </w:rPr>
        <w:t xml:space="preserve">, </w:t>
      </w:r>
      <w:r w:rsidR="0077270F" w:rsidRPr="001D2CF2">
        <w:rPr>
          <w:rFonts w:ascii="Verdana" w:hAnsi="Verdana" w:cs="Arial"/>
          <w:b/>
          <w:sz w:val="20"/>
          <w:szCs w:val="20"/>
          <w:u w:val="single"/>
          <w:lang w:val="it-IT"/>
        </w:rPr>
        <w:t>ivi compresi quelli per i quali sia stato conseguito il beneficio della non menzione</w:t>
      </w:r>
      <w:r w:rsidR="0077270F" w:rsidRPr="001D2CF2">
        <w:rPr>
          <w:rFonts w:ascii="Verdana" w:hAnsi="Verdana" w:cs="Arial"/>
          <w:b/>
          <w:sz w:val="20"/>
          <w:szCs w:val="20"/>
          <w:lang w:val="it-IT"/>
        </w:rPr>
        <w:t xml:space="preserve">, </w:t>
      </w:r>
      <w:r w:rsidRPr="001D2CF2">
        <w:rPr>
          <w:rFonts w:ascii="Verdana" w:hAnsi="Verdana" w:cs="Arial"/>
          <w:b/>
          <w:sz w:val="20"/>
          <w:szCs w:val="20"/>
          <w:lang w:val="it-IT"/>
        </w:rPr>
        <w:t xml:space="preserve">relativi </w:t>
      </w:r>
      <w:r w:rsidR="00D66848" w:rsidRPr="001D2CF2">
        <w:rPr>
          <w:rFonts w:ascii="Verdana" w:hAnsi="Verdana" w:cs="Arial"/>
          <w:b/>
          <w:sz w:val="20"/>
          <w:szCs w:val="20"/>
          <w:lang w:val="it-IT"/>
        </w:rPr>
        <w:t xml:space="preserve">al titolare o al direttore tecnico, se si tratta di impresa individuale; </w:t>
      </w:r>
      <w:r w:rsidR="002341F5" w:rsidRPr="001D2CF2">
        <w:rPr>
          <w:rFonts w:ascii="Verdana" w:hAnsi="Verdana" w:cs="Arial"/>
          <w:b/>
          <w:sz w:val="20"/>
          <w:szCs w:val="20"/>
          <w:lang w:val="it-IT"/>
        </w:rPr>
        <w:t>ai soci</w:t>
      </w:r>
      <w:r w:rsidR="00D66848" w:rsidRPr="001D2CF2">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350829" w:rsidRPr="00E2773B">
        <w:rPr>
          <w:rFonts w:ascii="Verdana" w:hAnsi="Verdana" w:cs="Arial"/>
          <w:b/>
          <w:sz w:val="20"/>
          <w:szCs w:val="20"/>
          <w:lang w:val="it-IT"/>
        </w:rPr>
        <w:t xml:space="preserve">ivi compresi institori e procuratori generali, ai membri degli organi con poteri </w:t>
      </w:r>
      <w:r w:rsidR="00D66848" w:rsidRPr="001D2CF2">
        <w:rPr>
          <w:rFonts w:ascii="Verdana" w:hAnsi="Verdana" w:cs="Arial"/>
          <w:b/>
          <w:sz w:val="20"/>
          <w:szCs w:val="20"/>
          <w:lang w:val="it-IT"/>
        </w:rPr>
        <w:t>di direzione o di vigilanza o ai soggetti muniti di poteri di rappresentanza, di direzione o di controllo</w:t>
      </w:r>
      <w:r w:rsidR="002341F5" w:rsidRPr="001D2CF2">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202008">
        <w:rPr>
          <w:rFonts w:ascii="Verdana" w:hAnsi="Verdana" w:cs="Arial"/>
          <w:b/>
          <w:sz w:val="20"/>
          <w:szCs w:val="20"/>
          <w:lang w:val="it-IT"/>
        </w:rPr>
        <w:t xml:space="preserve">anche </w:t>
      </w:r>
      <w:r w:rsidR="002341F5" w:rsidRPr="001D2CF2">
        <w:rPr>
          <w:rFonts w:ascii="Verdana" w:hAnsi="Verdana" w:cs="Arial"/>
          <w:b/>
          <w:sz w:val="20"/>
          <w:szCs w:val="20"/>
          <w:lang w:val="it-IT"/>
        </w:rPr>
        <w:t>al Comunicato A.N.A.C. del 26 ottobre 2016, come specificato anche nella nota di compilazione n. 5)</w:t>
      </w:r>
      <w:r w:rsidR="00D66848" w:rsidRPr="001D2CF2">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1D2CF2">
        <w:rPr>
          <w:rFonts w:ascii="Verdana" w:hAnsi="Verdana" w:cs="Arial"/>
          <w:b/>
          <w:sz w:val="20"/>
          <w:szCs w:val="20"/>
          <w:lang w:val="it-IT"/>
        </w:rPr>
        <w:t>,</w:t>
      </w:r>
      <w:r w:rsidR="00D66848" w:rsidRPr="001D2CF2">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B67B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BB67B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B67B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B67B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B67B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BB67B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w:t>
      </w:r>
      <w:r w:rsidR="008F33D6">
        <w:rPr>
          <w:rFonts w:ascii="Verdana" w:hAnsi="Verdana" w:cs="Arial"/>
          <w:sz w:val="20"/>
          <w:szCs w:val="20"/>
          <w:lang w:val="it-IT"/>
        </w:rPr>
        <w:t xml:space="preserve"> di pubblicazione del Bando di Gara</w:t>
      </w:r>
      <w:r w:rsidRPr="00C1464C">
        <w:rPr>
          <w:rFonts w:ascii="Verdana" w:hAnsi="Verdana" w:cs="Arial"/>
          <w:sz w:val="20"/>
          <w:szCs w:val="20"/>
          <w:lang w:val="it-IT"/>
        </w:rPr>
        <w:t>;</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lastRenderedPageBreak/>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w:t>
      </w:r>
      <w:r w:rsidR="008F33D6">
        <w:rPr>
          <w:rFonts w:ascii="Verdana" w:hAnsi="Verdana" w:cs="Arial"/>
          <w:sz w:val="20"/>
          <w:szCs w:val="20"/>
          <w:lang w:val="it-IT"/>
        </w:rPr>
        <w:t>pubblicazione del Bando di Gara</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7D115D" w:rsidRPr="002A26C3">
        <w:rPr>
          <w:rFonts w:ascii="Verdana" w:hAnsi="Verdana" w:cs="Arial"/>
          <w:sz w:val="20"/>
          <w:szCs w:val="20"/>
          <w:lang w:val="it-IT"/>
        </w:rPr>
        <w:t xml:space="preserve"> </w:t>
      </w:r>
      <w:r w:rsidR="007D115D" w:rsidRPr="00A6175E">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F54104" w:rsidRPr="00F54104">
        <w:rPr>
          <w:rFonts w:ascii="Verdana" w:hAnsi="Verdana" w:cs="Arial"/>
          <w:b/>
          <w:sz w:val="20"/>
          <w:szCs w:val="20"/>
          <w:lang w:val="it-IT"/>
        </w:rPr>
        <w:t>aggiornate dalla Deliberazione A.N.A.C. n. 1008 dell’11 ottobre 2017</w:t>
      </w:r>
      <w:r w:rsidR="00BF3662">
        <w:rPr>
          <w:rFonts w:ascii="Verdana" w:hAnsi="Verdana" w:cs="Arial"/>
          <w:b/>
          <w:sz w:val="20"/>
          <w:szCs w:val="20"/>
          <w:lang w:val="it-IT"/>
        </w:rPr>
        <w:t xml:space="preserve">, </w:t>
      </w:r>
      <w:r w:rsidR="007D115D" w:rsidRPr="00A6175E">
        <w:rPr>
          <w:rFonts w:ascii="Verdana" w:hAnsi="Verdana" w:cs="Arial"/>
          <w:b/>
          <w:sz w:val="20"/>
          <w:szCs w:val="20"/>
          <w:lang w:val="it-IT"/>
        </w:rPr>
        <w:t>come specificate anche</w:t>
      </w:r>
      <w:r w:rsidR="006569A6" w:rsidRPr="00A6175E">
        <w:rPr>
          <w:rFonts w:ascii="Verdana" w:hAnsi="Verdana" w:cs="Arial"/>
          <w:b/>
          <w:sz w:val="20"/>
          <w:szCs w:val="20"/>
          <w:lang w:val="it-IT"/>
        </w:rPr>
        <w:t xml:space="preserve"> nella nota di compilazione n. 6</w:t>
      </w:r>
      <w:r w:rsidR="007D115D" w:rsidRPr="00A6175E">
        <w:rPr>
          <w:rFonts w:ascii="Verdana" w:hAnsi="Verdana" w:cs="Arial"/>
          <w:b/>
          <w:sz w:val="20"/>
          <w:szCs w:val="20"/>
          <w:lang w:val="it-IT"/>
        </w:rPr>
        <w:t>)</w:t>
      </w:r>
      <w:r w:rsidRPr="00A6175E">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B67BD"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e</w:t>
      </w:r>
      <w:proofErr w:type="gramEnd"/>
      <w:r w:rsidRPr="002A26C3">
        <w:rPr>
          <w:rFonts w:ascii="Verdana" w:hAnsi="Verdana" w:cs="Arial"/>
          <w:i/>
          <w:sz w:val="20"/>
          <w:szCs w:val="20"/>
          <w:lang w:val="it-IT"/>
        </w:rPr>
        <w:t>]</w:t>
      </w:r>
    </w:p>
    <w:p w:rsidR="007A7ADF" w:rsidRPr="00C1464C" w:rsidRDefault="00B0750A" w:rsidP="001A6C1D">
      <w:pPr>
        <w:numPr>
          <w:ilvl w:val="0"/>
          <w:numId w:val="22"/>
        </w:numPr>
        <w:spacing w:after="120"/>
        <w:jc w:val="both"/>
        <w:rPr>
          <w:rFonts w:ascii="Verdana" w:hAnsi="Verdana" w:cs="Arial"/>
          <w:sz w:val="20"/>
          <w:szCs w:val="20"/>
          <w:lang w:val="it-IT"/>
        </w:rPr>
      </w:pPr>
      <w:proofErr w:type="gramStart"/>
      <w:r>
        <w:rPr>
          <w:rFonts w:ascii="Verdana" w:hAnsi="Verdana" w:cs="Arial"/>
          <w:sz w:val="20"/>
          <w:szCs w:val="20"/>
          <w:lang w:val="it-IT"/>
        </w:rPr>
        <w:t>al</w:t>
      </w:r>
      <w:proofErr w:type="gramEnd"/>
      <w:r>
        <w:rPr>
          <w:rFonts w:ascii="Verdana" w:hAnsi="Verdana" w:cs="Arial"/>
          <w:sz w:val="20"/>
          <w:szCs w:val="20"/>
          <w:lang w:val="it-IT"/>
        </w:rPr>
        <w:t xml:space="preserve"> momento della </w:t>
      </w:r>
      <w:bookmarkStart w:id="0" w:name="_GoBack"/>
      <w:bookmarkEnd w:id="0"/>
      <w:r w:rsidR="00BB67BD">
        <w:rPr>
          <w:rFonts w:ascii="Verdana" w:hAnsi="Verdana" w:cs="Arial"/>
          <w:sz w:val="20"/>
          <w:szCs w:val="20"/>
          <w:lang w:val="it-IT"/>
        </w:rPr>
        <w:t>presentazione dell’Offerta</w:t>
      </w:r>
      <w:r w:rsidR="007A7ADF" w:rsidRPr="002A26C3">
        <w:rPr>
          <w:rFonts w:ascii="Verdana" w:hAnsi="Verdana" w:cs="Arial"/>
          <w:sz w:val="20"/>
          <w:szCs w:val="20"/>
          <w:lang w:val="it-IT"/>
        </w:rPr>
        <w:t xml:space="preserve"> non risulta escluso con sentenza definitiva dalla partecipazione alle proced</w:t>
      </w:r>
      <w:r w:rsidR="007A7ADF"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B67B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w:t>
      </w:r>
      <w:proofErr w:type="spellStart"/>
      <w:r w:rsidR="0088783B" w:rsidRPr="00483A64">
        <w:rPr>
          <w:rFonts w:ascii="Verdana" w:hAnsi="Verdana" w:cs="Arial"/>
          <w:b/>
          <w:sz w:val="20"/>
          <w:szCs w:val="20"/>
          <w:lang w:val="it-IT"/>
        </w:rPr>
        <w:t>D.Lgs.</w:t>
      </w:r>
      <w:proofErr w:type="spellEnd"/>
      <w:r w:rsidR="0088783B" w:rsidRPr="00483A64">
        <w:rPr>
          <w:rFonts w:ascii="Verdana" w:hAnsi="Verdana" w:cs="Arial"/>
          <w:b/>
          <w:sz w:val="20"/>
          <w:szCs w:val="20"/>
          <w:lang w:val="it-IT"/>
        </w:rPr>
        <w:t xml:space="preserve">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al Comunicato A.N.A.C. del 26 ottobre 2016,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 xml:space="preserve">del </w:t>
      </w:r>
      <w:r w:rsidRPr="009027B0">
        <w:rPr>
          <w:rFonts w:ascii="Verdana" w:hAnsi="Verdana" w:cs="Arial"/>
          <w:sz w:val="20"/>
          <w:szCs w:val="20"/>
          <w:lang w:val="it-IT"/>
        </w:rPr>
        <w:lastRenderedPageBreak/>
        <w:t>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proofErr w:type="gramStart"/>
      <w:r w:rsidRPr="0095218F">
        <w:rPr>
          <w:rFonts w:ascii="Verdana" w:hAnsi="Verdana" w:cs="Arial"/>
          <w:sz w:val="20"/>
          <w:szCs w:val="20"/>
          <w:lang w:val="it-IT"/>
        </w:rPr>
        <w:t>di</w:t>
      </w:r>
      <w:proofErr w:type="gramEnd"/>
      <w:r w:rsidRPr="0095218F">
        <w:rPr>
          <w:rFonts w:ascii="Verdana" w:hAnsi="Verdana" w:cs="Arial"/>
          <w:sz w:val="20"/>
          <w:szCs w:val="20"/>
          <w:lang w:val="it-IT"/>
        </w:rPr>
        <w:t xml:space="preserve"> essere in regola rispetto alla normativa antimafia, con riferimento a quanto previsto dall’art. 80, comma 2, seconda parte del </w:t>
      </w:r>
      <w:proofErr w:type="spellStart"/>
      <w:r w:rsidRPr="0095218F">
        <w:rPr>
          <w:rFonts w:ascii="Verdana" w:hAnsi="Verdana" w:cs="Arial"/>
          <w:sz w:val="20"/>
          <w:szCs w:val="20"/>
          <w:lang w:val="it-IT"/>
        </w:rPr>
        <w:t>D.Lgs.</w:t>
      </w:r>
      <w:proofErr w:type="spellEnd"/>
      <w:r w:rsidRPr="0095218F">
        <w:rPr>
          <w:rFonts w:ascii="Verdana" w:hAnsi="Verdana" w:cs="Arial"/>
          <w:sz w:val="20"/>
          <w:szCs w:val="20"/>
          <w:lang w:val="it-IT"/>
        </w:rPr>
        <w:t xml:space="preserve">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w:t>
      </w:r>
      <w:proofErr w:type="gramStart"/>
      <w:r w:rsidRPr="00FF422E">
        <w:rPr>
          <w:rFonts w:ascii="Verdana" w:hAnsi="Verdana" w:cs="Arial"/>
          <w:i/>
          <w:sz w:val="20"/>
          <w:szCs w:val="20"/>
          <w:lang w:val="it-IT"/>
        </w:rPr>
        <w:t>ovvero</w:t>
      </w:r>
      <w:proofErr w:type="gramEnd"/>
      <w:r w:rsidRPr="00FF422E">
        <w:rPr>
          <w:rFonts w:ascii="Verdana" w:hAnsi="Verdana" w:cs="Arial"/>
          <w:i/>
          <w:sz w:val="20"/>
          <w:szCs w:val="20"/>
          <w:lang w:val="it-IT"/>
        </w:rPr>
        <w:t>]</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FF422E">
        <w:rPr>
          <w:rFonts w:ascii="Verdana" w:hAnsi="Verdana" w:cs="Arial"/>
          <w:sz w:val="20"/>
          <w:szCs w:val="20"/>
          <w:lang w:val="it-IT"/>
        </w:rPr>
        <w:t>la</w:t>
      </w:r>
      <w:proofErr w:type="gramEnd"/>
      <w:r w:rsidRPr="00FF422E">
        <w:rPr>
          <w:rFonts w:ascii="Verdana" w:hAnsi="Verdana" w:cs="Arial"/>
          <w:sz w:val="20"/>
          <w:szCs w:val="20"/>
          <w:lang w:val="it-IT"/>
        </w:rPr>
        <w:t xml:space="preserve">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xml:space="preserve">, ove non sia intervenuta sentenza di condanna, è stata accertata definitivamente più di tre anni prima della data di </w:t>
      </w:r>
      <w:r w:rsidR="00550451">
        <w:rPr>
          <w:rFonts w:ascii="Verdana" w:hAnsi="Verdana" w:cs="Arial"/>
          <w:sz w:val="20"/>
          <w:szCs w:val="20"/>
          <w:lang w:val="it-IT"/>
        </w:rPr>
        <w:t>pubblicazione del Bando di Gara</w:t>
      </w:r>
      <w:r w:rsidRPr="00FF422E">
        <w:rPr>
          <w:rFonts w:ascii="Verdana" w:hAnsi="Verdana" w:cs="Arial"/>
          <w:sz w:val="20"/>
          <w:szCs w:val="20"/>
          <w:lang w:val="it-IT"/>
        </w:rPr>
        <w:t>;</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2A8C">
        <w:rPr>
          <w:rFonts w:ascii="Verdana" w:hAnsi="Verdana" w:cs="Arial"/>
          <w:sz w:val="20"/>
          <w:szCs w:val="20"/>
          <w:lang w:val="it-IT"/>
        </w:rPr>
        <w:t xml:space="preserve">primo </w:t>
      </w:r>
      <w:r w:rsidR="00920D11">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w:t>
      </w:r>
      <w:r w:rsidR="002255DA">
        <w:rPr>
          <w:rFonts w:ascii="Verdana" w:hAnsi="Verdana" w:cs="Arial"/>
          <w:sz w:val="20"/>
          <w:szCs w:val="20"/>
          <w:lang w:val="it-IT"/>
        </w:rPr>
        <w:t>ubblicazione del Bando di Gara</w:t>
      </w:r>
      <w:r w:rsidRPr="00573FE3">
        <w:rPr>
          <w:rFonts w:ascii="Verdana" w:hAnsi="Verdana" w:cs="Arial"/>
          <w:sz w:val="20"/>
          <w:szCs w:val="20"/>
          <w:lang w:val="it-IT"/>
        </w:rPr>
        <w:t>;</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essersi reso colpevole di gravi illeciti professionali</w:t>
      </w:r>
      <w:r w:rsidR="0079375F">
        <w:rPr>
          <w:rFonts w:ascii="Verdana" w:hAnsi="Verdana" w:cs="Arial"/>
          <w:sz w:val="20"/>
          <w:szCs w:val="20"/>
          <w:lang w:val="it-IT"/>
        </w:rPr>
        <w:t xml:space="preserve"> </w:t>
      </w:r>
      <w:r w:rsidR="0079375F" w:rsidRPr="0079375F">
        <w:rPr>
          <w:rFonts w:ascii="Verdana" w:hAnsi="Verdana" w:cs="Arial"/>
          <w:sz w:val="20"/>
          <w:szCs w:val="20"/>
          <w:lang w:val="it-IT"/>
        </w:rPr>
        <w:t>di natura civile, penale o amministrativa, accertati con provvedimento esecutivo</w:t>
      </w:r>
      <w:r w:rsidRPr="00C1464C">
        <w:rPr>
          <w:rFonts w:ascii="Verdana" w:hAnsi="Verdana" w:cs="Arial"/>
          <w:sz w:val="20"/>
          <w:szCs w:val="20"/>
          <w:lang w:val="it-IT"/>
        </w:rPr>
        <w:t xml:space="preserve">,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 xml:space="preserve">giudizio, ovvero confermata </w:t>
      </w:r>
      <w:r w:rsidR="0079375F" w:rsidRPr="0079375F">
        <w:rPr>
          <w:rFonts w:ascii="Verdana" w:hAnsi="Verdana" w:cs="Arial"/>
          <w:sz w:val="20"/>
          <w:szCs w:val="20"/>
          <w:lang w:val="it-IT"/>
        </w:rPr>
        <w:t xml:space="preserve">con provvedimento esecutivo </w:t>
      </w:r>
      <w:r w:rsidR="00977E5C" w:rsidRPr="00C1464C">
        <w:rPr>
          <w:rFonts w:ascii="Verdana" w:hAnsi="Verdana" w:cs="Arial"/>
          <w:sz w:val="20"/>
          <w:szCs w:val="20"/>
          <w:lang w:val="it-IT"/>
        </w:rPr>
        <w:t>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3C03F8" w:rsidRPr="002A26C3">
        <w:rPr>
          <w:rFonts w:ascii="Verdana" w:hAnsi="Verdana" w:cs="Arial"/>
          <w:sz w:val="20"/>
          <w:szCs w:val="20"/>
          <w:lang w:val="it-IT"/>
        </w:rPr>
        <w:t xml:space="preserve"> </w:t>
      </w:r>
      <w:r w:rsidR="003C03F8" w:rsidRPr="002A26C3">
        <w:rPr>
          <w:rFonts w:ascii="Verdana" w:hAnsi="Verdana" w:cs="Arial"/>
          <w:b/>
          <w:sz w:val="20"/>
          <w:szCs w:val="20"/>
          <w:lang w:val="it-IT"/>
        </w:rPr>
        <w:t>(per indicazioni operative e chiarimenti in merito alle fattispecie esemplificative sopra indicate, si rinvia alle Linee Guida dell’A.N.AC. n. 6, del 16 novembre 2016</w:t>
      </w:r>
      <w:r w:rsidR="002E728B">
        <w:rPr>
          <w:rFonts w:ascii="Verdana" w:hAnsi="Verdana" w:cs="Arial"/>
          <w:b/>
          <w:sz w:val="20"/>
          <w:szCs w:val="20"/>
          <w:lang w:val="it-IT"/>
        </w:rPr>
        <w:t xml:space="preserve">, </w:t>
      </w:r>
      <w:r w:rsidR="002E728B" w:rsidRPr="002E728B">
        <w:rPr>
          <w:rFonts w:ascii="Verdana" w:hAnsi="Verdana" w:cs="Arial"/>
          <w:b/>
          <w:sz w:val="20"/>
          <w:szCs w:val="20"/>
          <w:lang w:val="it-IT"/>
        </w:rPr>
        <w:t>come aggiornate dalla Deliberazione A.N.A.C. n. 1008 dell’11 ottobre 2017</w:t>
      </w:r>
      <w:r w:rsidR="003C03F8" w:rsidRPr="002A26C3">
        <w:rPr>
          <w:rFonts w:ascii="Verdana" w:hAnsi="Verdana" w:cs="Arial"/>
          <w:b/>
          <w:sz w:val="20"/>
          <w:szCs w:val="20"/>
          <w:lang w:val="it-IT"/>
        </w:rPr>
        <w:t>).</w:t>
      </w:r>
    </w:p>
    <w:p w:rsidR="007F6478" w:rsidRPr="007F6478" w:rsidRDefault="003C03F8" w:rsidP="007F6478">
      <w:pPr>
        <w:spacing w:after="120"/>
        <w:ind w:left="720"/>
        <w:jc w:val="both"/>
        <w:rPr>
          <w:rFonts w:ascii="Verdana" w:hAnsi="Verdana" w:cs="Arial"/>
          <w:sz w:val="20"/>
          <w:szCs w:val="20"/>
          <w:lang w:val="it-IT"/>
        </w:rPr>
      </w:pPr>
      <w:r w:rsidRPr="002A26C3">
        <w:rPr>
          <w:rFonts w:ascii="Verdana" w:hAnsi="Verdana" w:cs="Arial"/>
          <w:sz w:val="20"/>
          <w:szCs w:val="20"/>
          <w:lang w:val="it-IT"/>
        </w:rPr>
        <w:t>Con riferimento all’ambito temporale rilevante ai fini della suddetta dichiarazione, si precisa che, ai sensi di quanto previsto dal paragrafo 5</w:t>
      </w:r>
      <w:r w:rsidR="00767CD4">
        <w:rPr>
          <w:rFonts w:ascii="Verdana" w:hAnsi="Verdana" w:cs="Arial"/>
          <w:sz w:val="20"/>
          <w:szCs w:val="20"/>
          <w:lang w:val="it-IT"/>
        </w:rPr>
        <w:t>.1</w:t>
      </w:r>
      <w:r w:rsidRPr="002A26C3">
        <w:rPr>
          <w:rFonts w:ascii="Verdana" w:hAnsi="Verdana" w:cs="Arial"/>
          <w:sz w:val="20"/>
          <w:szCs w:val="20"/>
          <w:lang w:val="it-IT"/>
        </w:rPr>
        <w:t xml:space="preserve"> delle succi</w:t>
      </w:r>
      <w:r w:rsidR="007F6478">
        <w:rPr>
          <w:rFonts w:ascii="Verdana" w:hAnsi="Verdana" w:cs="Arial"/>
          <w:sz w:val="20"/>
          <w:szCs w:val="20"/>
          <w:lang w:val="it-IT"/>
        </w:rPr>
        <w:t>tate Linee Guida dell’A.N.A.C.</w:t>
      </w:r>
      <w:r w:rsidR="007F6478" w:rsidRPr="007F6478">
        <w:rPr>
          <w:rFonts w:ascii="Verdana" w:hAnsi="Verdana" w:cs="Arial"/>
          <w:sz w:val="20"/>
          <w:szCs w:val="20"/>
          <w:lang w:val="it-IT"/>
        </w:rPr>
        <w:t xml:space="preserve"> come da ultimo aggiornate </w:t>
      </w:r>
      <w:r w:rsidR="007F6478" w:rsidRPr="007F6478">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007F6478" w:rsidRPr="007F6478">
        <w:rPr>
          <w:rFonts w:ascii="Verdana" w:hAnsi="Verdana" w:cs="Arial"/>
          <w:i/>
          <w:sz w:val="20"/>
          <w:szCs w:val="20"/>
          <w:lang w:val="it-IT"/>
        </w:rPr>
        <w:t>lett</w:t>
      </w:r>
      <w:proofErr w:type="spellEnd"/>
      <w:r w:rsidR="007F6478" w:rsidRPr="007F6478">
        <w:rPr>
          <w:rFonts w:ascii="Verdana" w:hAnsi="Verdana" w:cs="Arial"/>
          <w:i/>
          <w:sz w:val="20"/>
          <w:szCs w:val="20"/>
          <w:lang w:val="it-IT"/>
        </w:rPr>
        <w:t xml:space="preserve">. c, dell’art. 80, del Codice è stabilita ai sensi del comma 10 del predetto articolo […]». </w:t>
      </w:r>
      <w:r w:rsidR="007F6478" w:rsidRPr="007F6478">
        <w:rPr>
          <w:rFonts w:ascii="Verdana" w:hAnsi="Verdana" w:cs="Arial"/>
          <w:sz w:val="20"/>
          <w:szCs w:val="20"/>
          <w:lang w:val="it-IT"/>
        </w:rPr>
        <w:t>In particolare:</w:t>
      </w:r>
    </w:p>
    <w:p w:rsidR="007F6478" w:rsidRPr="007F6478" w:rsidRDefault="007F6478" w:rsidP="007F6478">
      <w:pPr>
        <w:numPr>
          <w:ilvl w:val="0"/>
          <w:numId w:val="21"/>
        </w:numPr>
        <w:spacing w:after="120"/>
        <w:jc w:val="both"/>
        <w:rPr>
          <w:rFonts w:ascii="Verdana" w:hAnsi="Verdana" w:cs="Arial"/>
          <w:sz w:val="20"/>
          <w:szCs w:val="20"/>
          <w:lang w:val="it-IT"/>
        </w:rPr>
      </w:pPr>
      <w:proofErr w:type="gramStart"/>
      <w:r w:rsidRPr="007F6478">
        <w:rPr>
          <w:rFonts w:ascii="Verdana" w:hAnsi="Verdana" w:cs="Arial"/>
          <w:sz w:val="20"/>
          <w:szCs w:val="20"/>
          <w:lang w:val="it-IT"/>
        </w:rPr>
        <w:t>è</w:t>
      </w:r>
      <w:proofErr w:type="gramEnd"/>
      <w:r w:rsidRPr="007F6478">
        <w:rPr>
          <w:rFonts w:ascii="Verdana" w:hAnsi="Verdana" w:cs="Arial"/>
          <w:sz w:val="20"/>
          <w:szCs w:val="20"/>
          <w:lang w:val="it-IT"/>
        </w:rPr>
        <w:t xml:space="preserve"> pari a cinque anni, se la sentenza penale di condanna non fissa la durata della pena accessoria;</w:t>
      </w:r>
    </w:p>
    <w:p w:rsidR="007F6478" w:rsidRPr="007F6478" w:rsidRDefault="007F6478" w:rsidP="007F6478">
      <w:pPr>
        <w:numPr>
          <w:ilvl w:val="0"/>
          <w:numId w:val="21"/>
        </w:numPr>
        <w:spacing w:after="120"/>
        <w:jc w:val="both"/>
        <w:rPr>
          <w:rFonts w:ascii="Verdana" w:hAnsi="Verdana" w:cs="Arial"/>
          <w:sz w:val="20"/>
          <w:szCs w:val="20"/>
          <w:lang w:val="it-IT"/>
        </w:rPr>
      </w:pPr>
      <w:proofErr w:type="gramStart"/>
      <w:r w:rsidRPr="007F6478">
        <w:rPr>
          <w:rFonts w:ascii="Verdana" w:hAnsi="Verdana" w:cs="Arial"/>
          <w:sz w:val="20"/>
          <w:szCs w:val="20"/>
          <w:lang w:val="it-IT"/>
        </w:rPr>
        <w:t>è</w:t>
      </w:r>
      <w:proofErr w:type="gramEnd"/>
      <w:r w:rsidRPr="007F6478">
        <w:rPr>
          <w:rFonts w:ascii="Verdana" w:hAnsi="Verdana" w:cs="Arial"/>
          <w:sz w:val="20"/>
          <w:szCs w:val="20"/>
          <w:lang w:val="it-IT"/>
        </w:rPr>
        <w:t xml:space="preserve"> pari alla durata della pena principale, se questa è di durata inferiore a cinque anni;</w:t>
      </w:r>
    </w:p>
    <w:p w:rsidR="003C03F8" w:rsidRPr="007F6478" w:rsidRDefault="007F6478" w:rsidP="007F6478">
      <w:pPr>
        <w:numPr>
          <w:ilvl w:val="0"/>
          <w:numId w:val="21"/>
        </w:numPr>
        <w:spacing w:after="120"/>
        <w:jc w:val="both"/>
        <w:rPr>
          <w:rFonts w:ascii="Verdana" w:hAnsi="Verdana" w:cs="Arial"/>
          <w:sz w:val="20"/>
          <w:szCs w:val="20"/>
          <w:lang w:val="it-IT"/>
        </w:rPr>
      </w:pPr>
      <w:proofErr w:type="gramStart"/>
      <w:r w:rsidRPr="007F6478">
        <w:rPr>
          <w:rFonts w:ascii="Verdana" w:hAnsi="Verdana" w:cs="Arial"/>
          <w:sz w:val="20"/>
          <w:szCs w:val="20"/>
          <w:lang w:val="it-IT"/>
        </w:rPr>
        <w:t>è</w:t>
      </w:r>
      <w:proofErr w:type="gramEnd"/>
      <w:r w:rsidRPr="007F6478">
        <w:rPr>
          <w:rFonts w:ascii="Verdana" w:hAnsi="Verdana" w:cs="Arial"/>
          <w:sz w:val="20"/>
          <w:szCs w:val="20"/>
          <w:lang w:val="it-IT"/>
        </w:rPr>
        <w:t xml:space="preserve"> pari a tre anni, decorrenti dalla data dell’accertamento del fatto, ove non sia intervenuta una sentenza penale di condanna;</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clausole</w:t>
      </w:r>
      <w:proofErr w:type="gramEnd"/>
      <w:r w:rsidRPr="002A26C3">
        <w:rPr>
          <w:rFonts w:ascii="Verdana" w:hAnsi="Verdana" w:cs="Arial"/>
          <w:b/>
          <w:i/>
          <w:sz w:val="20"/>
          <w:szCs w:val="20"/>
          <w:lang w:val="it-IT"/>
        </w:rPr>
        <w:t xml:space="preserv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la propria partecipazione alla presente procedura non determina alcuna situazione di conflitto di interesse ai </w:t>
      </w:r>
      <w:r w:rsidR="000447F9">
        <w:rPr>
          <w:rFonts w:ascii="Verdana" w:hAnsi="Verdana" w:cs="Arial"/>
          <w:sz w:val="20"/>
          <w:szCs w:val="20"/>
          <w:lang w:val="it-IT"/>
        </w:rPr>
        <w:t>sensi dell’articolo 42, comma 2</w:t>
      </w:r>
      <w:r w:rsidR="007007D1">
        <w:rPr>
          <w:rFonts w:ascii="Verdana" w:hAnsi="Verdana" w:cs="Arial"/>
          <w:sz w:val="20"/>
          <w:szCs w:val="20"/>
          <w:lang w:val="it-IT"/>
        </w:rPr>
        <w:t xml:space="preserve">, del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ovvero</w:t>
      </w:r>
      <w:proofErr w:type="gramEnd"/>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w:t>
      </w:r>
      <w:r w:rsidR="007007D1">
        <w:rPr>
          <w:rFonts w:ascii="Verdana" w:hAnsi="Verdana" w:cs="Arial"/>
          <w:sz w:val="20"/>
          <w:szCs w:val="20"/>
          <w:lang w:val="it-IT"/>
        </w:rPr>
        <w:t xml:space="preserve">el </w:t>
      </w:r>
      <w:proofErr w:type="spellStart"/>
      <w:r w:rsidR="007007D1">
        <w:rPr>
          <w:rFonts w:ascii="Verdana" w:hAnsi="Verdana" w:cs="Arial"/>
          <w:sz w:val="20"/>
          <w:szCs w:val="20"/>
          <w:lang w:val="it-IT"/>
        </w:rPr>
        <w:t>D.Lgs.</w:t>
      </w:r>
      <w:proofErr w:type="spellEnd"/>
      <w:r w:rsidR="007007D1">
        <w:rPr>
          <w:rFonts w:ascii="Verdana" w:hAnsi="Verdana" w:cs="Arial"/>
          <w:sz w:val="20"/>
          <w:szCs w:val="20"/>
          <w:lang w:val="it-IT"/>
        </w:rPr>
        <w:t xml:space="preserve">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 determinata</w:t>
      </w:r>
      <w:r w:rsidRPr="002A26C3">
        <w:rPr>
          <w:lang w:val="it-IT"/>
        </w:rPr>
        <w:t xml:space="preserve"> dal</w:t>
      </w:r>
      <w:r w:rsidRPr="002A26C3">
        <w:rPr>
          <w:rFonts w:ascii="Verdana" w:hAnsi="Verdana" w:cs="Arial"/>
          <w:sz w:val="20"/>
          <w:szCs w:val="20"/>
          <w:lang w:val="it-IT"/>
        </w:rPr>
        <w:t xml:space="preserve">la propria partecipazione alla presente procedura, è stata o verrà </w:t>
      </w:r>
      <w:r w:rsidRPr="002A26C3">
        <w:rPr>
          <w:rFonts w:ascii="Verdana" w:hAnsi="Verdana" w:cs="Arial"/>
          <w:sz w:val="20"/>
          <w:szCs w:val="20"/>
          <w:lang w:val="it-IT"/>
        </w:rPr>
        <w:lastRenderedPageBreak/>
        <w:t>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clausole</w:t>
      </w:r>
      <w:proofErr w:type="gramEnd"/>
      <w:r w:rsidRPr="002A26C3">
        <w:rPr>
          <w:rFonts w:ascii="Verdana" w:hAnsi="Verdana" w:cs="Arial"/>
          <w:b/>
          <w:i/>
          <w:sz w:val="20"/>
          <w:szCs w:val="20"/>
          <w:lang w:val="it-IT"/>
        </w:rPr>
        <w:t xml:space="preserv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ovvero</w:t>
      </w:r>
      <w:proofErr w:type="gramEnd"/>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le distorsioni della concorrenza derivanti dal proprio precedente coinvolgimento nella preparazione della presente procedura, ai sensi dell’art. 67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F943CB">
        <w:rPr>
          <w:rFonts w:ascii="Verdana" w:hAnsi="Verdana" w:cs="Arial"/>
          <w:b/>
          <w:bCs/>
          <w:i/>
          <w:sz w:val="20"/>
          <w:szCs w:val="20"/>
        </w:rPr>
        <w:t>bis</w:t>
      </w:r>
      <w:proofErr w:type="spellEnd"/>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15077C">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specificato 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683895" w:rsidRPr="00C1464C" w:rsidRDefault="007F1F3E" w:rsidP="00683895">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00021B54">
        <w:rPr>
          <w:rFonts w:ascii="Verdana" w:hAnsi="Verdana" w:cs="Arial"/>
          <w:sz w:val="20"/>
          <w:szCs w:val="20"/>
          <w:lang w:val="it-IT"/>
        </w:rPr>
        <w:t>i seguenti esponenti dell’azienda o società [</w:t>
      </w:r>
      <w:r>
        <w:rPr>
          <w:rFonts w:ascii="Verdana" w:hAnsi="Verdana" w:cs="Arial"/>
          <w:sz w:val="20"/>
          <w:szCs w:val="20"/>
          <w:lang w:val="it-IT"/>
        </w:rPr>
        <w:t xml:space="preserve">il </w:t>
      </w:r>
      <w:r w:rsidR="00683895" w:rsidRPr="00C1464C">
        <w:rPr>
          <w:rFonts w:ascii="Verdana" w:hAnsi="Verdana" w:cs="Arial"/>
          <w:sz w:val="20"/>
          <w:szCs w:val="20"/>
          <w:lang w:val="it-IT"/>
        </w:rPr>
        <w:t>titolare o direttore tecnico, se si t</w:t>
      </w:r>
      <w:r>
        <w:rPr>
          <w:rFonts w:ascii="Verdana" w:hAnsi="Verdana" w:cs="Arial"/>
          <w:sz w:val="20"/>
          <w:szCs w:val="20"/>
          <w:lang w:val="it-IT"/>
        </w:rPr>
        <w:t>ratta di impresa individuale; i</w:t>
      </w:r>
      <w:r w:rsidR="00683895" w:rsidRPr="00C1464C">
        <w:rPr>
          <w:rFonts w:ascii="Verdana" w:hAnsi="Verdana" w:cs="Arial"/>
          <w:sz w:val="20"/>
          <w:szCs w:val="20"/>
          <w:lang w:val="it-IT"/>
        </w:rPr>
        <w:t xml:space="preserve"> socio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00683895"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00683895" w:rsidRPr="00C1464C">
        <w:rPr>
          <w:rFonts w:ascii="Verdana" w:hAnsi="Verdana" w:cs="Arial"/>
          <w:sz w:val="20"/>
          <w:szCs w:val="20"/>
          <w:lang w:val="it-IT"/>
        </w:rPr>
        <w:t>membri del consiglio di ammini</w:t>
      </w:r>
      <w:r w:rsidR="00683895" w:rsidRPr="00282441">
        <w:rPr>
          <w:rFonts w:ascii="Verdana" w:hAnsi="Verdana" w:cs="Arial"/>
          <w:sz w:val="20"/>
          <w:szCs w:val="20"/>
          <w:lang w:val="it-IT"/>
        </w:rPr>
        <w:t>strazione cui sia stata conferita la legale rappresentanza, ivi compresi insti</w:t>
      </w:r>
      <w:r w:rsidR="00683895">
        <w:rPr>
          <w:rFonts w:ascii="Verdana" w:hAnsi="Verdana" w:cs="Arial"/>
          <w:sz w:val="20"/>
          <w:szCs w:val="20"/>
          <w:lang w:val="it-IT"/>
        </w:rPr>
        <w:t>tori e procuratori generali,</w:t>
      </w:r>
      <w:r w:rsidR="00683895" w:rsidRPr="00282441">
        <w:rPr>
          <w:rFonts w:ascii="Verdana" w:hAnsi="Verdana" w:cs="Arial"/>
          <w:sz w:val="20"/>
          <w:szCs w:val="20"/>
          <w:lang w:val="it-IT"/>
        </w:rPr>
        <w:t xml:space="preserve"> </w:t>
      </w:r>
      <w:r>
        <w:rPr>
          <w:rFonts w:ascii="Verdana" w:hAnsi="Verdana" w:cs="Arial"/>
          <w:sz w:val="20"/>
          <w:szCs w:val="20"/>
          <w:lang w:val="it-IT"/>
        </w:rPr>
        <w:t xml:space="preserve">i </w:t>
      </w:r>
      <w:r w:rsidR="00683895" w:rsidRPr="00282441">
        <w:rPr>
          <w:rFonts w:ascii="Verdana" w:hAnsi="Verdana" w:cs="Arial"/>
          <w:sz w:val="20"/>
          <w:szCs w:val="20"/>
          <w:lang w:val="it-IT"/>
        </w:rPr>
        <w:t>membri degli organi con poteri di</w:t>
      </w:r>
      <w:r w:rsidR="00683895">
        <w:rPr>
          <w:rFonts w:ascii="Verdana" w:hAnsi="Verdana" w:cs="Arial"/>
          <w:i/>
          <w:sz w:val="20"/>
          <w:szCs w:val="20"/>
          <w:lang w:val="it-IT"/>
        </w:rPr>
        <w:t xml:space="preserve"> </w:t>
      </w:r>
      <w:r w:rsidR="00683895">
        <w:rPr>
          <w:rFonts w:ascii="Verdana" w:hAnsi="Verdana" w:cs="Arial"/>
          <w:sz w:val="20"/>
          <w:szCs w:val="20"/>
          <w:lang w:val="it-IT"/>
        </w:rPr>
        <w:t xml:space="preserve">direzione o di vigilanza o </w:t>
      </w:r>
      <w:r w:rsidR="00683895" w:rsidRPr="00C1464C">
        <w:rPr>
          <w:rFonts w:ascii="Verdana" w:hAnsi="Verdana" w:cs="Arial"/>
          <w:sz w:val="20"/>
          <w:szCs w:val="20"/>
          <w:lang w:val="it-IT"/>
        </w:rPr>
        <w:t>i soggetti muniti di poteri di rappresentanza, di direzione o di controllo</w:t>
      </w:r>
      <w:r w:rsidR="00683895">
        <w:rPr>
          <w:rFonts w:ascii="Verdana" w:hAnsi="Verdana" w:cs="Arial"/>
          <w:sz w:val="20"/>
          <w:szCs w:val="20"/>
          <w:lang w:val="it-IT"/>
        </w:rPr>
        <w:t xml:space="preserve"> </w:t>
      </w:r>
      <w:r w:rsidR="00683895" w:rsidRPr="001D2CF2">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specificato nella nota di compilazione n. 5)</w:t>
      </w:r>
      <w:r w:rsidR="00683895" w:rsidRPr="007F1F3E">
        <w:rPr>
          <w:rFonts w:ascii="Verdana" w:hAnsi="Verdana" w:cs="Arial"/>
          <w:sz w:val="20"/>
          <w:szCs w:val="20"/>
          <w:lang w:val="it-IT"/>
        </w:rPr>
        <w:t xml:space="preserve">, </w:t>
      </w:r>
      <w:r w:rsidRPr="007F1F3E">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socio unico persona fisica, ovvero </w:t>
      </w:r>
      <w:r>
        <w:rPr>
          <w:rFonts w:ascii="Verdana" w:hAnsi="Verdana" w:cs="Arial"/>
          <w:sz w:val="20"/>
          <w:szCs w:val="20"/>
          <w:lang w:val="it-IT"/>
        </w:rPr>
        <w:t xml:space="preserve">il </w:t>
      </w:r>
      <w:r w:rsidR="00683895" w:rsidRPr="00C1464C">
        <w:rPr>
          <w:rFonts w:ascii="Verdana" w:hAnsi="Verdana" w:cs="Arial"/>
          <w:sz w:val="20"/>
          <w:szCs w:val="20"/>
          <w:lang w:val="it-IT"/>
        </w:rPr>
        <w:t>socio di maggioranza in caso di società con meno di quattro soci, se si tratta di altro tipo di società o consorzio</w:t>
      </w:r>
      <w:r w:rsidR="00021B54">
        <w:rPr>
          <w:rFonts w:ascii="Verdana" w:hAnsi="Verdana" w:cs="Arial"/>
          <w:sz w:val="20"/>
          <w:szCs w:val="20"/>
          <w:lang w:val="it-IT"/>
        </w:rPr>
        <w:t>]</w:t>
      </w:r>
      <w:r w:rsidR="00683895"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A26C3"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selezionare</w:t>
      </w:r>
      <w:proofErr w:type="gramEnd"/>
      <w:r w:rsidRPr="002A26C3">
        <w:rPr>
          <w:rFonts w:ascii="Verdana" w:hAnsi="Verdana" w:cs="Arial"/>
          <w:i/>
          <w:sz w:val="20"/>
          <w:szCs w:val="20"/>
          <w:lang w:val="it-IT"/>
        </w:rPr>
        <w:t xml:space="preserv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w:t>
      </w:r>
      <w:proofErr w:type="spellStart"/>
      <w:r w:rsidRPr="002A26C3">
        <w:rPr>
          <w:rFonts w:ascii="Verdana" w:hAnsi="Verdana" w:cs="Arial"/>
          <w:i/>
          <w:sz w:val="20"/>
          <w:szCs w:val="20"/>
          <w:lang w:val="it-IT"/>
        </w:rPr>
        <w:t>D.Lgs.</w:t>
      </w:r>
      <w:proofErr w:type="spellEnd"/>
      <w:r w:rsidRPr="002A26C3">
        <w:rPr>
          <w:rFonts w:ascii="Verdana" w:hAnsi="Verdana" w:cs="Arial"/>
          <w:i/>
          <w:sz w:val="20"/>
          <w:szCs w:val="20"/>
          <w:lang w:val="it-IT"/>
        </w:rPr>
        <w:t xml:space="preserve">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proofErr w:type="gramStart"/>
      <w:r w:rsidRPr="002A26C3">
        <w:rPr>
          <w:rFonts w:ascii="Verdana" w:hAnsi="Verdana" w:cs="Arial"/>
          <w:b/>
          <w:sz w:val="20"/>
          <w:szCs w:val="20"/>
          <w:lang w:val="it-IT"/>
        </w:rPr>
        <w:t>che</w:t>
      </w:r>
      <w:proofErr w:type="gramEnd"/>
      <w:r w:rsidRPr="002A26C3">
        <w:rPr>
          <w:rFonts w:ascii="Verdana" w:hAnsi="Verdana" w:cs="Arial"/>
          <w:b/>
          <w:sz w:val="20"/>
          <w:szCs w:val="20"/>
          <w:lang w:val="it-IT"/>
        </w:rPr>
        <w:t xml:space="preserv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w:t>
      </w:r>
      <w:proofErr w:type="spellStart"/>
      <w:r w:rsidRPr="000447F9">
        <w:rPr>
          <w:rFonts w:ascii="Verdana" w:hAnsi="Verdana" w:cs="Arial"/>
          <w:b/>
          <w:sz w:val="20"/>
          <w:szCs w:val="20"/>
          <w:lang w:val="it-IT"/>
        </w:rPr>
        <w:t>D.Lgs.</w:t>
      </w:r>
      <w:proofErr w:type="spellEnd"/>
      <w:r w:rsidRPr="000447F9">
        <w:rPr>
          <w:rFonts w:ascii="Verdana" w:hAnsi="Verdana" w:cs="Arial"/>
          <w:b/>
          <w:sz w:val="20"/>
          <w:szCs w:val="20"/>
          <w:lang w:val="it-IT"/>
        </w:rPr>
        <w:t xml:space="preserve">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selezionare</w:t>
      </w:r>
      <w:proofErr w:type="gramEnd"/>
      <w:r w:rsidRPr="002A26C3">
        <w:rPr>
          <w:rFonts w:ascii="Verdana" w:hAnsi="Verdana" w:cs="Arial"/>
          <w:i/>
          <w:sz w:val="20"/>
          <w:szCs w:val="20"/>
          <w:lang w:val="it-IT"/>
        </w:rPr>
        <w:t xml:space="preserv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Pr="002A26C3">
        <w:rPr>
          <w:rFonts w:ascii="Verdana" w:hAnsi="Verdana"/>
          <w:sz w:val="20"/>
          <w:szCs w:val="20"/>
          <w:lang w:val="it-IT"/>
        </w:rPr>
        <w:t xml:space="preserv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stato</w:t>
      </w:r>
      <w:proofErr w:type="gramEnd"/>
      <w:r w:rsidRPr="002A26C3">
        <w:rPr>
          <w:rFonts w:ascii="Verdana" w:hAnsi="Verdana"/>
          <w:sz w:val="20"/>
          <w:szCs w:val="20"/>
          <w:lang w:val="it-IT"/>
        </w:rPr>
        <w:t xml:space="preserve">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00220890">
        <w:rPr>
          <w:rFonts w:ascii="Verdana" w:hAnsi="Verdana"/>
          <w:sz w:val="20"/>
          <w:szCs w:val="20"/>
          <w:lang w:val="it-IT"/>
        </w:rPr>
        <w:t xml:space="preserve">, </w:t>
      </w:r>
      <w:r w:rsidR="00220890" w:rsidRPr="00220890">
        <w:rPr>
          <w:rFonts w:ascii="Verdana" w:hAnsi="Verdana"/>
          <w:sz w:val="20"/>
          <w:szCs w:val="20"/>
          <w:lang w:val="it-IT"/>
        </w:rPr>
        <w:t xml:space="preserve">da parte dell’operatore economico, </w:t>
      </w:r>
      <w:r w:rsidRPr="002A26C3">
        <w:rPr>
          <w:rFonts w:ascii="Verdana" w:hAnsi="Verdana"/>
          <w:sz w:val="20"/>
          <w:szCs w:val="20"/>
          <w:lang w:val="it-IT"/>
        </w:rPr>
        <w:t xml:space="preserve">di gravi illeciti professionali </w:t>
      </w:r>
      <w:r w:rsidR="00220890" w:rsidRPr="00220890">
        <w:rPr>
          <w:rFonts w:ascii="Verdana" w:hAnsi="Verdana"/>
          <w:sz w:val="20"/>
          <w:szCs w:val="20"/>
          <w:lang w:val="it-IT"/>
        </w:rPr>
        <w:t xml:space="preserve">di natura civile, penale o amministrativa, accertati con provvedimento esecutivo e </w:t>
      </w:r>
      <w:r w:rsidRPr="002A26C3">
        <w:rPr>
          <w:rFonts w:ascii="Verdana" w:hAnsi="Verdana"/>
          <w:sz w:val="20"/>
          <w:szCs w:val="20"/>
          <w:lang w:val="it-IT"/>
        </w:rPr>
        <w:t xml:space="preserve">tali da rendere dubbia la sua integrità o affidabilità, ai sensi dell’art. 80, comma 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c) del </w:t>
      </w:r>
      <w:proofErr w:type="spellStart"/>
      <w:r w:rsidRPr="002A26C3">
        <w:rPr>
          <w:rFonts w:ascii="Verdana" w:hAnsi="Verdana"/>
          <w:sz w:val="20"/>
          <w:szCs w:val="20"/>
          <w:lang w:val="it-IT"/>
        </w:rPr>
        <w:t>D.Lgs.</w:t>
      </w:r>
      <w:proofErr w:type="spellEnd"/>
      <w:r w:rsidRPr="002A26C3">
        <w:rPr>
          <w:rFonts w:ascii="Verdana" w:hAnsi="Verdana"/>
          <w:sz w:val="20"/>
          <w:szCs w:val="20"/>
          <w:lang w:val="it-IT"/>
        </w:rPr>
        <w:t xml:space="preserve"> </w:t>
      </w:r>
      <w:r w:rsidR="00A72782">
        <w:rPr>
          <w:rFonts w:ascii="Verdana" w:hAnsi="Verdana"/>
          <w:sz w:val="20"/>
          <w:szCs w:val="20"/>
          <w:lang w:val="it-IT"/>
        </w:rPr>
        <w:t>50/2016</w:t>
      </w:r>
      <w:r w:rsidRPr="002A26C3">
        <w:rPr>
          <w:rFonts w:ascii="Verdana" w:hAnsi="Verdana"/>
          <w:sz w:val="20"/>
          <w:szCs w:val="20"/>
          <w:lang w:val="it-IT"/>
        </w:rPr>
        <w:t xml:space="preserve"> e delle Linee Guida A.N.A.C. </w:t>
      </w:r>
      <w:r w:rsidRPr="002A26C3">
        <w:rPr>
          <w:rFonts w:ascii="Verdana" w:hAnsi="Verdana" w:cs="Arial"/>
          <w:sz w:val="20"/>
          <w:szCs w:val="20"/>
          <w:lang w:val="it-IT"/>
        </w:rPr>
        <w:t>n. 6, del 16 novembre 2016</w:t>
      </w:r>
      <w:r w:rsidR="00E605AA">
        <w:rPr>
          <w:rFonts w:ascii="Verdana" w:hAnsi="Verdana"/>
          <w:sz w:val="20"/>
          <w:szCs w:val="20"/>
          <w:lang w:val="it-IT"/>
        </w:rPr>
        <w:t xml:space="preserve">, </w:t>
      </w:r>
      <w:r w:rsidR="00E605AA" w:rsidRPr="00E605AA">
        <w:rPr>
          <w:rFonts w:ascii="Verdana" w:hAnsi="Verdana"/>
          <w:sz w:val="20"/>
          <w:szCs w:val="20"/>
          <w:lang w:val="it-IT"/>
        </w:rPr>
        <w:t xml:space="preserve">aggiornate dalla Deliberazione A.N.A.C. n. 1008 dell’11 ottobre 2017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c, della presente dichiarazione) e in particolare:</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iscrizione</w:t>
      </w:r>
      <w:proofErr w:type="gramEnd"/>
      <w:r w:rsidRPr="002A26C3">
        <w:rPr>
          <w:rFonts w:ascii="Verdana" w:hAnsi="Verdana" w:cs="Arial"/>
          <w:sz w:val="20"/>
          <w:szCs w:val="20"/>
          <w:lang w:val="it-IT"/>
        </w:rPr>
        <w:t>, nei confronti dell’</w:t>
      </w:r>
      <w:r w:rsidR="008207B7">
        <w:rPr>
          <w:rFonts w:ascii="Verdana" w:hAnsi="Verdana" w:cs="Arial"/>
          <w:sz w:val="20"/>
          <w:szCs w:val="20"/>
          <w:lang w:val="it-IT"/>
        </w:rPr>
        <w:t>O</w:t>
      </w:r>
      <w:r w:rsidRPr="002A26C3">
        <w:rPr>
          <w:rFonts w:ascii="Verdana" w:hAnsi="Verdana" w:cs="Arial"/>
          <w:sz w:val="20"/>
          <w:szCs w:val="20"/>
          <w:lang w:val="it-IT"/>
        </w:rPr>
        <w:t>peratore economico, al casellario informatico tenuto dall’Osservato</w:t>
      </w:r>
      <w:r w:rsidR="00E16B15">
        <w:rPr>
          <w:rFonts w:ascii="Verdana" w:hAnsi="Verdana" w:cs="Arial"/>
          <w:sz w:val="20"/>
          <w:szCs w:val="20"/>
          <w:lang w:val="it-IT"/>
        </w:rPr>
        <w:t xml:space="preserve">rio istituito presso l’A.N.AC., </w:t>
      </w:r>
      <w:r w:rsidRPr="002A26C3">
        <w:rPr>
          <w:rFonts w:ascii="Verdana" w:hAnsi="Verdana" w:cs="Arial"/>
          <w:sz w:val="20"/>
          <w:szCs w:val="20"/>
          <w:lang w:val="it-IT"/>
        </w:rPr>
        <w:t xml:space="preserve">per situazioni riconducibili alla fattispecie di cui all’art.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c),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n. 50/2016, come di seguito specificate [</w:t>
      </w:r>
      <w:r w:rsidRPr="002A26C3">
        <w:rPr>
          <w:rFonts w:ascii="Verdana" w:hAnsi="Verdana" w:cs="Arial"/>
          <w:i/>
          <w:sz w:val="20"/>
          <w:szCs w:val="20"/>
          <w:lang w:val="it-IT"/>
        </w:rPr>
        <w:t xml:space="preserve">attenzione: indicare tutte le notizie inserite nel casellario informatico gestito dall’A.N.AC. </w:t>
      </w:r>
      <w:proofErr w:type="gramStart"/>
      <w:r w:rsidRPr="002A26C3">
        <w:rPr>
          <w:rFonts w:ascii="Verdana" w:hAnsi="Verdana" w:cs="Arial"/>
          <w:i/>
          <w:sz w:val="20"/>
          <w:szCs w:val="20"/>
          <w:lang w:val="it-IT"/>
        </w:rPr>
        <w:t>astrattamente</w:t>
      </w:r>
      <w:proofErr w:type="gramEnd"/>
      <w:r w:rsidRPr="002A26C3">
        <w:rPr>
          <w:rFonts w:ascii="Verdana" w:hAnsi="Verdana" w:cs="Arial"/>
          <w:i/>
          <w:sz w:val="20"/>
          <w:szCs w:val="20"/>
          <w:lang w:val="it-IT"/>
        </w:rPr>
        <w:t xml:space="preserve"> idonee a rendere dubbia la propria integrità o l’affidabilità</w:t>
      </w:r>
      <w:r w:rsidR="00DB4E4A">
        <w:rPr>
          <w:rFonts w:ascii="Verdana" w:hAnsi="Verdana" w:cs="Arial"/>
          <w:i/>
          <w:sz w:val="20"/>
          <w:szCs w:val="20"/>
          <w:lang w:val="it-IT"/>
        </w:rPr>
        <w:t xml:space="preserve"> </w:t>
      </w:r>
      <w:r w:rsidR="00DB4E4A" w:rsidRPr="00DB4E4A">
        <w:rPr>
          <w:rFonts w:ascii="Verdana" w:hAnsi="Verdana" w:cs="Arial"/>
          <w:i/>
          <w:sz w:val="20"/>
          <w:szCs w:val="20"/>
          <w:lang w:val="it-IT"/>
        </w:rPr>
        <w:t>specificando altresì, per ciascuna notizia, la relativa data di annotazione nel Casellario</w:t>
      </w:r>
      <w:r w:rsidRPr="002A26C3">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BB67BD" w:rsidTr="00BE709B">
        <w:tc>
          <w:tcPr>
            <w:tcW w:w="9781"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822F7F" w:rsidRPr="002A26C3" w:rsidRDefault="00822F7F" w:rsidP="00822F7F">
      <w:pPr>
        <w:spacing w:after="120"/>
        <w:ind w:left="993"/>
        <w:jc w:val="both"/>
        <w:rPr>
          <w:rFonts w:ascii="Verdana" w:hAnsi="Verdana" w:cs="Arial"/>
          <w:sz w:val="20"/>
          <w:szCs w:val="20"/>
          <w:lang w:val="it-IT"/>
        </w:rPr>
      </w:pPr>
    </w:p>
    <w:p w:rsidR="00822F7F" w:rsidRDefault="00822F7F" w:rsidP="00822F7F">
      <w:pPr>
        <w:spacing w:after="120"/>
        <w:ind w:left="709"/>
        <w:jc w:val="both"/>
        <w:rPr>
          <w:rFonts w:ascii="Verdana" w:hAnsi="Verdana" w:cs="Arial"/>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e</w:t>
      </w:r>
      <w:proofErr w:type="gramEnd"/>
      <w:r w:rsidRPr="002A26C3">
        <w:rPr>
          <w:rFonts w:ascii="Verdana" w:hAnsi="Verdana" w:cs="Arial"/>
          <w:i/>
          <w:sz w:val="20"/>
          <w:szCs w:val="20"/>
          <w:lang w:val="it-IT"/>
        </w:rPr>
        <w:t>/o</w:t>
      </w:r>
      <w:r w:rsidRPr="002A26C3">
        <w:rPr>
          <w:rFonts w:ascii="Verdana" w:hAnsi="Verdana" w:cs="Arial"/>
          <w:sz w:val="20"/>
          <w:szCs w:val="20"/>
          <w:lang w:val="it-IT"/>
        </w:rPr>
        <w:t>]</w:t>
      </w:r>
    </w:p>
    <w:p w:rsidR="00002DB9" w:rsidRPr="00002DB9" w:rsidRDefault="00002DB9" w:rsidP="00002DB9">
      <w:pPr>
        <w:numPr>
          <w:ilvl w:val="0"/>
          <w:numId w:val="21"/>
        </w:numPr>
        <w:spacing w:after="120"/>
        <w:ind w:left="1418" w:hanging="425"/>
        <w:jc w:val="both"/>
        <w:rPr>
          <w:rFonts w:ascii="Verdana" w:hAnsi="Verdana" w:cs="Arial"/>
          <w:sz w:val="20"/>
          <w:szCs w:val="20"/>
          <w:lang w:val="it-IT"/>
        </w:rPr>
      </w:pPr>
      <w:proofErr w:type="gramStart"/>
      <w:r w:rsidRPr="00002DB9">
        <w:rPr>
          <w:rFonts w:ascii="Verdana" w:hAnsi="Verdana" w:cs="Arial"/>
          <w:sz w:val="20"/>
          <w:szCs w:val="20"/>
          <w:lang w:val="it-IT"/>
        </w:rPr>
        <w:t>sussistenza</w:t>
      </w:r>
      <w:proofErr w:type="gramEnd"/>
      <w:r w:rsidRPr="00002DB9">
        <w:rPr>
          <w:rFonts w:ascii="Verdana" w:hAnsi="Verdana" w:cs="Arial"/>
          <w:sz w:val="20"/>
          <w:szCs w:val="20"/>
          <w:lang w:val="it-IT"/>
        </w:rPr>
        <w:t xml:space="preserve"> di provvedimenti non ancora inseriti nel Casellario informatico, astrattamente idonei a porre in dubbio l’integrità o affidabilità dell’operatore, ai sensi dell’art. 80, comma 5°, </w:t>
      </w:r>
      <w:proofErr w:type="spellStart"/>
      <w:r w:rsidRPr="00002DB9">
        <w:rPr>
          <w:rFonts w:ascii="Verdana" w:hAnsi="Verdana" w:cs="Arial"/>
          <w:sz w:val="20"/>
          <w:szCs w:val="20"/>
          <w:lang w:val="it-IT"/>
        </w:rPr>
        <w:t>lett</w:t>
      </w:r>
      <w:proofErr w:type="spellEnd"/>
      <w:r w:rsidRPr="00002DB9">
        <w:rPr>
          <w:rFonts w:ascii="Verdana" w:hAnsi="Verdana" w:cs="Arial"/>
          <w:sz w:val="20"/>
          <w:szCs w:val="20"/>
          <w:lang w:val="it-IT"/>
        </w:rPr>
        <w:t xml:space="preserve">. c) del </w:t>
      </w:r>
      <w:proofErr w:type="spellStart"/>
      <w:r w:rsidRPr="00002DB9">
        <w:rPr>
          <w:rFonts w:ascii="Verdana" w:hAnsi="Verdana" w:cs="Arial"/>
          <w:sz w:val="20"/>
          <w:szCs w:val="20"/>
          <w:lang w:val="it-IT"/>
        </w:rPr>
        <w:t>D.Lgs.</w:t>
      </w:r>
      <w:proofErr w:type="spellEnd"/>
      <w:r w:rsidRPr="00002DB9">
        <w:rPr>
          <w:rFonts w:ascii="Verdana" w:hAnsi="Verdana" w:cs="Arial"/>
          <w:sz w:val="20"/>
          <w:szCs w:val="20"/>
          <w:lang w:val="it-IT"/>
        </w:rPr>
        <w:t xml:space="preserve"> 50/16 e delle Linee Guida A.N.A.C. n. 6, del </w:t>
      </w:r>
      <w:r w:rsidRPr="00002DB9">
        <w:rPr>
          <w:rFonts w:ascii="Verdana" w:hAnsi="Verdana" w:cs="Arial"/>
          <w:sz w:val="20"/>
          <w:szCs w:val="20"/>
          <w:lang w:val="it-IT"/>
        </w:rPr>
        <w:lastRenderedPageBreak/>
        <w:t>16 novembre 2016, aggiornate dalla Deliberazione A.N.A.C. n. 1008 dell’11 ottobre 2017 [</w:t>
      </w:r>
      <w:r w:rsidRPr="00002DB9">
        <w:rPr>
          <w:rFonts w:ascii="Verdana" w:hAnsi="Verdana" w:cs="Arial"/>
          <w:i/>
          <w:sz w:val="20"/>
          <w:szCs w:val="20"/>
          <w:lang w:val="it-IT"/>
        </w:rPr>
        <w:t>attenzione: indicare tutti i provvedimenti astrattamente idonei a rendere dubbia la propria integrità o l’affidabilità</w:t>
      </w:r>
      <w:r w:rsidRPr="00002DB9">
        <w:rPr>
          <w:rFonts w:ascii="Verdana" w:hAnsi="Verdana" w:cs="Arial"/>
          <w:sz w:val="20"/>
          <w:szCs w:val="20"/>
          <w:lang w:val="it-I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02DB9" w:rsidRPr="00BB67BD" w:rsidTr="00B00CF1">
        <w:tc>
          <w:tcPr>
            <w:tcW w:w="9570" w:type="dxa"/>
            <w:shd w:val="clear" w:color="auto" w:fill="auto"/>
          </w:tcPr>
          <w:p w:rsidR="00002DB9" w:rsidRPr="002A26C3" w:rsidRDefault="00002DB9" w:rsidP="00A9777B">
            <w:pPr>
              <w:spacing w:after="120"/>
              <w:jc w:val="both"/>
              <w:rPr>
                <w:rFonts w:ascii="Verdana" w:hAnsi="Verdana" w:cs="Arial"/>
                <w:sz w:val="20"/>
                <w:szCs w:val="20"/>
                <w:lang w:val="it-IT"/>
              </w:rPr>
            </w:pPr>
          </w:p>
          <w:p w:rsidR="00002DB9" w:rsidRPr="002A26C3" w:rsidRDefault="00002DB9" w:rsidP="00A9777B">
            <w:pPr>
              <w:spacing w:after="120"/>
              <w:jc w:val="both"/>
              <w:rPr>
                <w:rFonts w:ascii="Verdana" w:hAnsi="Verdana" w:cs="Arial"/>
                <w:sz w:val="20"/>
                <w:szCs w:val="20"/>
                <w:lang w:val="it-IT"/>
              </w:rPr>
            </w:pPr>
          </w:p>
          <w:p w:rsidR="00002DB9" w:rsidRPr="002A26C3" w:rsidRDefault="00002DB9" w:rsidP="00A9777B">
            <w:pPr>
              <w:spacing w:after="120"/>
              <w:jc w:val="both"/>
              <w:rPr>
                <w:rFonts w:ascii="Verdana" w:hAnsi="Verdana" w:cs="Arial"/>
                <w:sz w:val="20"/>
                <w:szCs w:val="20"/>
                <w:lang w:val="it-IT"/>
              </w:rPr>
            </w:pPr>
          </w:p>
        </w:tc>
      </w:tr>
    </w:tbl>
    <w:p w:rsidR="00002DB9" w:rsidRPr="002A26C3" w:rsidRDefault="00B00CF1" w:rsidP="00DA6582">
      <w:pPr>
        <w:spacing w:after="120"/>
        <w:ind w:left="709"/>
        <w:jc w:val="both"/>
        <w:rPr>
          <w:rFonts w:ascii="Verdana" w:hAnsi="Verdana" w:cs="Arial"/>
          <w:sz w:val="20"/>
          <w:szCs w:val="20"/>
          <w:lang w:val="it-IT"/>
        </w:rPr>
      </w:pPr>
      <w:r w:rsidRPr="00B00CF1">
        <w:rPr>
          <w:rFonts w:ascii="Verdana" w:hAnsi="Verdana" w:cs="Arial"/>
          <w:sz w:val="20"/>
          <w:szCs w:val="20"/>
          <w:lang w:val="it-IT"/>
        </w:rPr>
        <w:t>[</w:t>
      </w:r>
      <w:proofErr w:type="gramStart"/>
      <w:r w:rsidRPr="00B00CF1">
        <w:rPr>
          <w:rFonts w:ascii="Verdana" w:hAnsi="Verdana" w:cs="Arial"/>
          <w:i/>
          <w:sz w:val="20"/>
          <w:szCs w:val="20"/>
          <w:lang w:val="it-IT"/>
        </w:rPr>
        <w:t>e</w:t>
      </w:r>
      <w:proofErr w:type="gramEnd"/>
      <w:r w:rsidRPr="00B00CF1">
        <w:rPr>
          <w:rFonts w:ascii="Verdana" w:hAnsi="Verdana" w:cs="Arial"/>
          <w:i/>
          <w:sz w:val="20"/>
          <w:szCs w:val="20"/>
          <w:lang w:val="it-IT"/>
        </w:rPr>
        <w:t>/o</w:t>
      </w:r>
      <w:r w:rsidRPr="00B00CF1">
        <w:rPr>
          <w:rFonts w:ascii="Verdana" w:hAnsi="Verdana" w:cs="Arial"/>
          <w:sz w:val="20"/>
          <w:szCs w:val="20"/>
          <w:lang w:val="it-IT"/>
        </w:rPr>
        <w:t>]</w:t>
      </w:r>
    </w:p>
    <w:p w:rsidR="00822F7F"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provvedimenti</w:t>
      </w:r>
      <w:proofErr w:type="gramEnd"/>
      <w:r w:rsidRPr="002A26C3">
        <w:rPr>
          <w:rFonts w:ascii="Verdana" w:hAnsi="Verdana" w:cs="Arial"/>
          <w:sz w:val="20"/>
          <w:szCs w:val="20"/>
          <w:lang w:val="it-IT"/>
        </w:rPr>
        <w:t xml:space="preserve"> penali di condanna non definitivi pronunciati nei confronti dei soggetti di cui all’art. 80, comma 3,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n. 50/2016 (cfr. sezione A2 della presente dichiarazione) per i reati di cui agli artt. 353, 353-bis, 354, 355 e 356 del codice penale</w:t>
      </w:r>
      <w:r w:rsidR="004344CF">
        <w:rPr>
          <w:rFonts w:ascii="Verdana" w:hAnsi="Verdana" w:cs="Arial"/>
          <w:sz w:val="20"/>
          <w:szCs w:val="20"/>
          <w:lang w:val="it-IT"/>
        </w:rPr>
        <w:t xml:space="preserve"> </w:t>
      </w:r>
      <w:r w:rsidR="004344CF" w:rsidRPr="004344CF">
        <w:rPr>
          <w:rFonts w:ascii="Verdana" w:hAnsi="Verdana" w:cs="Arial"/>
          <w:sz w:val="20"/>
          <w:szCs w:val="20"/>
          <w:lang w:val="it-IT"/>
        </w:rPr>
        <w:t>e di cui al paragrafo 2.2 delle Linee Guida dell’A.N.A.C. n. 6 come da ultimo aggiornate (per ulteriori indicazioni, si rinvia anche alla nota di compilazione n. 7)</w:t>
      </w:r>
      <w:r w:rsidRPr="002A26C3">
        <w:rPr>
          <w:rFonts w:ascii="Verdana" w:hAnsi="Verdana" w:cs="Arial"/>
          <w:sz w:val="20"/>
          <w:szCs w:val="20"/>
          <w:lang w:val="it-IT"/>
        </w:rPr>
        <w:t>, come indicati nella tabella riportata di seguito [</w:t>
      </w:r>
      <w:r w:rsidRPr="002A26C3">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2A26C3">
        <w:rPr>
          <w:rFonts w:ascii="Verdana" w:hAnsi="Verdana" w:cs="Arial"/>
          <w:i/>
          <w:sz w:val="20"/>
          <w:szCs w:val="20"/>
          <w:lang w:val="it-IT"/>
        </w:rPr>
        <w:t>lett</w:t>
      </w:r>
      <w:proofErr w:type="spellEnd"/>
      <w:r w:rsidRPr="002A26C3">
        <w:rPr>
          <w:rFonts w:ascii="Verdana" w:hAnsi="Verdana" w:cs="Arial"/>
          <w:i/>
          <w:sz w:val="20"/>
          <w:szCs w:val="20"/>
          <w:lang w:val="it-IT"/>
        </w:rPr>
        <w:t xml:space="preserve">. c), del </w:t>
      </w:r>
      <w:proofErr w:type="spellStart"/>
      <w:r w:rsidRPr="002A26C3">
        <w:rPr>
          <w:rFonts w:ascii="Verdana" w:hAnsi="Verdana" w:cs="Arial"/>
          <w:i/>
          <w:sz w:val="20"/>
          <w:szCs w:val="20"/>
          <w:lang w:val="it-IT"/>
        </w:rPr>
        <w:t>D.Lgs.</w:t>
      </w:r>
      <w:proofErr w:type="spellEnd"/>
      <w:r w:rsidRPr="002A26C3">
        <w:rPr>
          <w:rFonts w:ascii="Verdana" w:hAnsi="Verdana" w:cs="Arial"/>
          <w:i/>
          <w:sz w:val="20"/>
          <w:szCs w:val="20"/>
          <w:lang w:val="it-IT"/>
        </w:rPr>
        <w:t xml:space="preserve"> n. 50/2016</w:t>
      </w:r>
      <w:r w:rsidR="00352C80">
        <w:rPr>
          <w:rFonts w:ascii="Verdana" w:hAnsi="Verdana" w:cs="Arial"/>
          <w:sz w:val="20"/>
          <w:szCs w:val="20"/>
          <w:lang w:val="it-IT"/>
        </w:rPr>
        <w:t>].</w:t>
      </w:r>
    </w:p>
    <w:p w:rsidR="00352C80" w:rsidRPr="00352C80" w:rsidRDefault="00352C80" w:rsidP="00352C80">
      <w:pPr>
        <w:spacing w:after="120"/>
        <w:ind w:left="1418"/>
        <w:jc w:val="both"/>
        <w:rPr>
          <w:rFonts w:ascii="Verdana" w:hAnsi="Verdana" w:cs="Arial"/>
          <w:sz w:val="20"/>
          <w:szCs w:val="20"/>
          <w:lang w:val="it-IT"/>
        </w:rPr>
      </w:pPr>
      <w:r w:rsidRPr="00352C80">
        <w:rPr>
          <w:rFonts w:ascii="Verdana" w:hAnsi="Verdana" w:cs="Arial"/>
          <w:sz w:val="20"/>
          <w:szCs w:val="20"/>
          <w:lang w:val="it-IT"/>
        </w:rPr>
        <w:t>Con riferimento all’ambito temporale rilevante ai fini della suddetta dichiarazione, si precisa che, ai sensi di quanto previsto dal paragrafo 5.1 delle succitate Linee Guida dell’A.N.A.C. n. 6, come da ultimo aggiornate «</w:t>
      </w:r>
      <w:r w:rsidRPr="00546E96">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Pr="00546E96">
        <w:rPr>
          <w:rFonts w:ascii="Verdana" w:hAnsi="Verdana" w:cs="Arial"/>
          <w:i/>
          <w:sz w:val="20"/>
          <w:szCs w:val="20"/>
          <w:lang w:val="it-IT"/>
        </w:rPr>
        <w:t>lett</w:t>
      </w:r>
      <w:proofErr w:type="spellEnd"/>
      <w:r w:rsidRPr="00546E96">
        <w:rPr>
          <w:rFonts w:ascii="Verdana" w:hAnsi="Verdana" w:cs="Arial"/>
          <w:i/>
          <w:sz w:val="20"/>
          <w:szCs w:val="20"/>
          <w:lang w:val="it-IT"/>
        </w:rPr>
        <w:t>. c, dell’art. 80, del Codice è stabilita ai sensi del comma 10 del predetto articolo […]</w:t>
      </w:r>
      <w:r w:rsidRPr="00352C80">
        <w:rPr>
          <w:rFonts w:ascii="Verdana" w:hAnsi="Verdana" w:cs="Arial"/>
          <w:sz w:val="20"/>
          <w:szCs w:val="20"/>
          <w:lang w:val="it-IT"/>
        </w:rPr>
        <w:t>». In particolare:</w:t>
      </w:r>
    </w:p>
    <w:p w:rsidR="00352C80" w:rsidRPr="00352C80" w:rsidRDefault="00352C80" w:rsidP="00352C80">
      <w:pPr>
        <w:spacing w:after="120"/>
        <w:ind w:left="1701" w:hanging="283"/>
        <w:jc w:val="both"/>
        <w:rPr>
          <w:rFonts w:ascii="Verdana" w:hAnsi="Verdana" w:cs="Arial"/>
          <w:sz w:val="20"/>
          <w:szCs w:val="20"/>
          <w:lang w:val="it-IT"/>
        </w:rPr>
      </w:pPr>
      <w:r w:rsidRPr="00352C80">
        <w:rPr>
          <w:rFonts w:ascii="Verdana" w:hAnsi="Verdana" w:cs="Arial"/>
          <w:sz w:val="20"/>
          <w:szCs w:val="20"/>
          <w:lang w:val="it-IT"/>
        </w:rPr>
        <w:t>-</w:t>
      </w:r>
      <w:r w:rsidRPr="00352C80">
        <w:rPr>
          <w:rFonts w:ascii="Verdana" w:hAnsi="Verdana" w:cs="Arial"/>
          <w:sz w:val="20"/>
          <w:szCs w:val="20"/>
          <w:lang w:val="it-IT"/>
        </w:rPr>
        <w:tab/>
        <w:t>è pari a cinque anni, se la sentenza penale di condanna non fissa la durata della pena accessoria;</w:t>
      </w:r>
    </w:p>
    <w:p w:rsidR="00352C80" w:rsidRPr="002A26C3" w:rsidRDefault="00352C80" w:rsidP="00352C80">
      <w:pPr>
        <w:spacing w:after="120"/>
        <w:ind w:left="1701" w:hanging="283"/>
        <w:jc w:val="both"/>
        <w:rPr>
          <w:rFonts w:ascii="Verdana" w:hAnsi="Verdana" w:cs="Arial"/>
          <w:sz w:val="20"/>
          <w:szCs w:val="20"/>
          <w:lang w:val="it-IT"/>
        </w:rPr>
      </w:pPr>
      <w:r w:rsidRPr="00352C80">
        <w:rPr>
          <w:rFonts w:ascii="Verdana" w:hAnsi="Verdana" w:cs="Arial"/>
          <w:sz w:val="20"/>
          <w:szCs w:val="20"/>
          <w:lang w:val="it-IT"/>
        </w:rPr>
        <w:t>-</w:t>
      </w:r>
      <w:r w:rsidRPr="00352C80">
        <w:rPr>
          <w:rFonts w:ascii="Verdana" w:hAnsi="Verdana" w:cs="Arial"/>
          <w:sz w:val="20"/>
          <w:szCs w:val="20"/>
          <w:lang w:val="it-IT"/>
        </w:rPr>
        <w:tab/>
        <w:t>è pari alla durata della pena principale, se questa è di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822F7F" w:rsidRPr="002A26C3" w:rsidTr="00BE709B">
        <w:tc>
          <w:tcPr>
            <w:tcW w:w="610"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Cognome, nome</w:t>
            </w:r>
          </w:p>
          <w:p w:rsidR="00822F7F" w:rsidRPr="002A26C3" w:rsidRDefault="00822F7F" w:rsidP="00BE709B">
            <w:pPr>
              <w:spacing w:after="120"/>
              <w:jc w:val="center"/>
              <w:rPr>
                <w:rFonts w:ascii="Verdana" w:hAnsi="Verdana" w:cs="Arial"/>
                <w:b/>
                <w:sz w:val="20"/>
                <w:szCs w:val="20"/>
                <w:lang w:val="it-IT"/>
              </w:rPr>
            </w:pPr>
            <w:proofErr w:type="gramStart"/>
            <w:r w:rsidRPr="002A26C3">
              <w:rPr>
                <w:rFonts w:ascii="Verdana" w:hAnsi="Verdana" w:cs="Arial"/>
                <w:b/>
                <w:sz w:val="20"/>
                <w:szCs w:val="20"/>
                <w:lang w:val="it-IT"/>
              </w:rPr>
              <w:t>e</w:t>
            </w:r>
            <w:proofErr w:type="gramEnd"/>
            <w:r w:rsidRPr="002A26C3">
              <w:rPr>
                <w:rFonts w:ascii="Verdana" w:hAnsi="Verdana" w:cs="Arial"/>
                <w:b/>
                <w:sz w:val="20"/>
                <w:szCs w:val="20"/>
                <w:lang w:val="it-IT"/>
              </w:rPr>
              <w:t xml:space="preserve"> carica ricoperta</w:t>
            </w:r>
          </w:p>
        </w:tc>
        <w:tc>
          <w:tcPr>
            <w:tcW w:w="46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Luogo e data di nascita</w:t>
            </w:r>
          </w:p>
        </w:tc>
        <w:tc>
          <w:tcPr>
            <w:tcW w:w="872"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494"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599"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Giudice emittente</w:t>
            </w:r>
          </w:p>
        </w:tc>
        <w:tc>
          <w:tcPr>
            <w:tcW w:w="3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Reato</w:t>
            </w:r>
          </w:p>
        </w:tc>
        <w:tc>
          <w:tcPr>
            <w:tcW w:w="60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Pena principale</w:t>
            </w:r>
          </w:p>
        </w:tc>
        <w:tc>
          <w:tcPr>
            <w:tcW w:w="95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 xml:space="preserve">Pena accessoria </w:t>
            </w:r>
          </w:p>
        </w:tc>
      </w:tr>
      <w:tr w:rsidR="00822F7F" w:rsidRPr="002A26C3" w:rsidTr="00BE709B">
        <w:trPr>
          <w:trHeight w:val="593"/>
        </w:trPr>
        <w:tc>
          <w:tcPr>
            <w:tcW w:w="610" w:type="pct"/>
          </w:tcPr>
          <w:p w:rsidR="00822F7F" w:rsidRPr="002A26C3" w:rsidRDefault="00822F7F" w:rsidP="00BE709B">
            <w:pPr>
              <w:spacing w:after="120"/>
              <w:jc w:val="both"/>
              <w:rPr>
                <w:rFonts w:ascii="Verdana" w:hAnsi="Verdana" w:cs="Arial"/>
                <w:sz w:val="20"/>
                <w:szCs w:val="20"/>
                <w:lang w:val="it-IT"/>
              </w:rPr>
            </w:pPr>
          </w:p>
        </w:tc>
        <w:tc>
          <w:tcPr>
            <w:tcW w:w="467" w:type="pct"/>
          </w:tcPr>
          <w:p w:rsidR="00822F7F" w:rsidRPr="002A26C3" w:rsidRDefault="00822F7F" w:rsidP="00BE709B">
            <w:pPr>
              <w:spacing w:after="120"/>
              <w:jc w:val="both"/>
              <w:rPr>
                <w:rFonts w:ascii="Verdana" w:hAnsi="Verdana" w:cs="Arial"/>
                <w:sz w:val="20"/>
                <w:szCs w:val="20"/>
                <w:lang w:val="it-IT"/>
              </w:rPr>
            </w:pPr>
          </w:p>
        </w:tc>
        <w:tc>
          <w:tcPr>
            <w:tcW w:w="872" w:type="pct"/>
          </w:tcPr>
          <w:p w:rsidR="00822F7F" w:rsidRPr="002A26C3" w:rsidRDefault="00822F7F" w:rsidP="00BE709B">
            <w:pPr>
              <w:spacing w:after="120"/>
              <w:jc w:val="both"/>
              <w:rPr>
                <w:rFonts w:ascii="Verdana" w:hAnsi="Verdana" w:cs="Arial"/>
                <w:sz w:val="20"/>
                <w:szCs w:val="20"/>
                <w:lang w:val="it-IT"/>
              </w:rPr>
            </w:pPr>
          </w:p>
        </w:tc>
        <w:tc>
          <w:tcPr>
            <w:tcW w:w="494" w:type="pct"/>
          </w:tcPr>
          <w:p w:rsidR="00822F7F" w:rsidRPr="002A26C3" w:rsidRDefault="00822F7F" w:rsidP="00BE709B">
            <w:pPr>
              <w:spacing w:after="120"/>
              <w:jc w:val="both"/>
              <w:rPr>
                <w:rFonts w:ascii="Verdana" w:hAnsi="Verdana" w:cs="Arial"/>
                <w:sz w:val="20"/>
                <w:szCs w:val="20"/>
                <w:lang w:val="it-IT"/>
              </w:rPr>
            </w:pPr>
          </w:p>
        </w:tc>
        <w:tc>
          <w:tcPr>
            <w:tcW w:w="599" w:type="pct"/>
          </w:tcPr>
          <w:p w:rsidR="00822F7F" w:rsidRPr="002A26C3" w:rsidRDefault="00822F7F" w:rsidP="00BE709B">
            <w:pPr>
              <w:spacing w:after="120"/>
              <w:jc w:val="both"/>
              <w:rPr>
                <w:rFonts w:ascii="Verdana" w:hAnsi="Verdana" w:cs="Arial"/>
                <w:sz w:val="20"/>
                <w:szCs w:val="20"/>
                <w:lang w:val="it-IT"/>
              </w:rPr>
            </w:pPr>
          </w:p>
        </w:tc>
        <w:tc>
          <w:tcPr>
            <w:tcW w:w="396" w:type="pct"/>
          </w:tcPr>
          <w:p w:rsidR="00822F7F" w:rsidRPr="002A26C3" w:rsidRDefault="00822F7F" w:rsidP="00BE709B">
            <w:pPr>
              <w:spacing w:after="120"/>
              <w:jc w:val="both"/>
              <w:rPr>
                <w:rFonts w:ascii="Verdana" w:hAnsi="Verdana" w:cs="Arial"/>
                <w:sz w:val="20"/>
                <w:szCs w:val="20"/>
                <w:lang w:val="it-IT"/>
              </w:rPr>
            </w:pPr>
          </w:p>
        </w:tc>
        <w:tc>
          <w:tcPr>
            <w:tcW w:w="606" w:type="pct"/>
          </w:tcPr>
          <w:p w:rsidR="00822F7F" w:rsidRPr="002A26C3" w:rsidRDefault="00822F7F" w:rsidP="00BE709B">
            <w:pPr>
              <w:spacing w:after="120"/>
              <w:jc w:val="both"/>
              <w:rPr>
                <w:rFonts w:ascii="Verdana" w:hAnsi="Verdana" w:cs="Arial"/>
                <w:sz w:val="20"/>
                <w:szCs w:val="20"/>
                <w:lang w:val="it-IT"/>
              </w:rPr>
            </w:pPr>
          </w:p>
        </w:tc>
        <w:tc>
          <w:tcPr>
            <w:tcW w:w="957" w:type="pct"/>
          </w:tcPr>
          <w:p w:rsidR="00822F7F" w:rsidRPr="002A26C3" w:rsidRDefault="00822F7F" w:rsidP="00BE709B">
            <w:pPr>
              <w:spacing w:after="120"/>
              <w:jc w:val="both"/>
              <w:rPr>
                <w:rFonts w:ascii="Verdana" w:hAnsi="Verdana" w:cs="Arial"/>
                <w:sz w:val="20"/>
                <w:szCs w:val="20"/>
                <w:lang w:val="it-IT"/>
              </w:rPr>
            </w:pPr>
          </w:p>
        </w:tc>
      </w:tr>
      <w:tr w:rsidR="00822F7F" w:rsidRPr="00BE4AC1" w:rsidTr="00BE709B">
        <w:trPr>
          <w:trHeight w:val="51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5"/>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33"/>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Default="00822F7F" w:rsidP="00822F7F">
      <w:pPr>
        <w:spacing w:after="120"/>
        <w:jc w:val="both"/>
        <w:rPr>
          <w:rFonts w:ascii="Verdana" w:hAnsi="Verdana"/>
          <w:sz w:val="20"/>
          <w:szCs w:val="20"/>
          <w:highlight w:val="cyan"/>
          <w:lang w:val="it-IT"/>
        </w:rPr>
      </w:pPr>
    </w:p>
    <w:p w:rsidR="00822F7F" w:rsidRPr="002A26C3" w:rsidRDefault="00822F7F" w:rsidP="001D51F0">
      <w:pPr>
        <w:spacing w:after="120"/>
        <w:ind w:firstLine="709"/>
        <w:jc w:val="both"/>
        <w:rPr>
          <w:rFonts w:ascii="Verdana" w:hAnsi="Verdana"/>
          <w:sz w:val="20"/>
          <w:szCs w:val="20"/>
          <w:lang w:val="it-IT"/>
        </w:rPr>
      </w:pPr>
      <w:r w:rsidRPr="002A26C3">
        <w:rPr>
          <w:rFonts w:ascii="Verdana" w:hAnsi="Verdana"/>
          <w:sz w:val="20"/>
          <w:szCs w:val="20"/>
          <w:lang w:val="it-IT"/>
        </w:rPr>
        <w:t>[</w:t>
      </w:r>
      <w:proofErr w:type="gramStart"/>
      <w:r w:rsidRPr="002A26C3">
        <w:rPr>
          <w:rFonts w:ascii="Verdana" w:hAnsi="Verdana"/>
          <w:sz w:val="20"/>
          <w:szCs w:val="20"/>
          <w:lang w:val="it-IT"/>
        </w:rPr>
        <w:t>e</w:t>
      </w:r>
      <w:proofErr w:type="gramEnd"/>
      <w:r w:rsidRPr="002A26C3">
        <w:rPr>
          <w:rFonts w:ascii="Verdana" w:hAnsi="Verdana"/>
          <w:sz w:val="20"/>
          <w:szCs w:val="20"/>
          <w:lang w:val="it-IT"/>
        </w:rPr>
        <w:t>/o]</w:t>
      </w:r>
    </w:p>
    <w:p w:rsidR="00822F7F" w:rsidRPr="002A26C3" w:rsidRDefault="00822F7F" w:rsidP="001D51F0">
      <w:pPr>
        <w:numPr>
          <w:ilvl w:val="0"/>
          <w:numId w:val="21"/>
        </w:numPr>
        <w:spacing w:after="120"/>
        <w:ind w:left="1276" w:hanging="283"/>
        <w:jc w:val="both"/>
        <w:rPr>
          <w:rFonts w:ascii="Verdana" w:hAnsi="Verdana"/>
          <w:sz w:val="20"/>
          <w:szCs w:val="20"/>
          <w:lang w:val="it-IT"/>
        </w:rPr>
      </w:pPr>
      <w:proofErr w:type="gramStart"/>
      <w:r w:rsidRPr="002A26C3">
        <w:rPr>
          <w:rFonts w:ascii="Verdana" w:hAnsi="Verdana"/>
          <w:sz w:val="20"/>
          <w:szCs w:val="20"/>
          <w:lang w:val="it-IT"/>
        </w:rPr>
        <w:t>provvedimenti</w:t>
      </w:r>
      <w:proofErr w:type="gramEnd"/>
      <w:r w:rsidRPr="002A26C3">
        <w:rPr>
          <w:rFonts w:ascii="Verdana" w:hAnsi="Verdana"/>
          <w:sz w:val="20"/>
          <w:szCs w:val="20"/>
          <w:lang w:val="it-IT"/>
        </w:rPr>
        <w:t xml:space="preserve"> </w:t>
      </w:r>
      <w:r w:rsidR="00615428">
        <w:rPr>
          <w:rFonts w:ascii="Verdana" w:hAnsi="Verdana"/>
          <w:sz w:val="20"/>
          <w:szCs w:val="20"/>
          <w:lang w:val="it-IT"/>
        </w:rPr>
        <w:t xml:space="preserve">esecutivi di condanna </w:t>
      </w:r>
      <w:r w:rsidRPr="002A26C3">
        <w:rPr>
          <w:rFonts w:ascii="Verdana" w:hAnsi="Verdana"/>
          <w:sz w:val="20"/>
          <w:szCs w:val="20"/>
          <w:lang w:val="it-IT"/>
        </w:rPr>
        <w:t xml:space="preserve">dell’Autorità garante della Concorrenza e del Mercato per pratiche commerciali scorrette o per illeciti </w:t>
      </w:r>
      <w:r w:rsidRPr="002A26C3">
        <w:rPr>
          <w:rFonts w:ascii="Verdana" w:hAnsi="Verdana"/>
          <w:i/>
          <w:sz w:val="20"/>
          <w:szCs w:val="20"/>
          <w:lang w:val="it-IT"/>
        </w:rPr>
        <w:t>antitrust</w:t>
      </w:r>
      <w:r w:rsidRPr="002A26C3">
        <w:rPr>
          <w:rFonts w:ascii="Verdana" w:hAnsi="Verdana"/>
          <w:sz w:val="20"/>
          <w:szCs w:val="20"/>
          <w:lang w:val="it-IT"/>
        </w:rPr>
        <w:t xml:space="preserve"> gravi aventi effetti </w:t>
      </w:r>
      <w:r w:rsidRPr="002A26C3">
        <w:rPr>
          <w:rFonts w:ascii="Verdana" w:hAnsi="Verdana"/>
          <w:sz w:val="20"/>
          <w:szCs w:val="20"/>
          <w:lang w:val="it-IT"/>
        </w:rPr>
        <w:lastRenderedPageBreak/>
        <w:t>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822F7F" w:rsidRPr="00BB67BD" w:rsidTr="00BE709B">
        <w:tc>
          <w:tcPr>
            <w:tcW w:w="1613"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1191"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21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Contenuto del provvedimento</w:t>
            </w:r>
          </w:p>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i.e.</w:t>
            </w:r>
            <w:proofErr w:type="gramEnd"/>
            <w:r w:rsidRPr="002A26C3">
              <w:rPr>
                <w:rFonts w:ascii="Verdana" w:hAnsi="Verdana" w:cs="Arial"/>
                <w:b/>
                <w:i/>
                <w:sz w:val="20"/>
                <w:szCs w:val="20"/>
                <w:lang w:val="it-IT"/>
              </w:rPr>
              <w:t xml:space="preserve"> </w:t>
            </w:r>
            <w:r w:rsidRPr="002A26C3">
              <w:rPr>
                <w:rFonts w:ascii="Verdana" w:hAnsi="Verdana" w:cs="Arial"/>
                <w:b/>
                <w:sz w:val="20"/>
                <w:szCs w:val="20"/>
                <w:lang w:val="it-IT"/>
              </w:rPr>
              <w:t>irregolarità/illeciti accertati, sanzioni irrogate etc.)</w:t>
            </w:r>
          </w:p>
        </w:tc>
      </w:tr>
      <w:tr w:rsidR="00822F7F" w:rsidRPr="00BB67BD" w:rsidTr="00BE709B">
        <w:trPr>
          <w:trHeight w:val="593"/>
        </w:trPr>
        <w:tc>
          <w:tcPr>
            <w:tcW w:w="1613" w:type="pct"/>
          </w:tcPr>
          <w:p w:rsidR="00822F7F" w:rsidRPr="002A26C3" w:rsidRDefault="00822F7F" w:rsidP="00BE709B">
            <w:pPr>
              <w:spacing w:after="120"/>
              <w:jc w:val="both"/>
              <w:rPr>
                <w:rFonts w:ascii="Verdana" w:hAnsi="Verdana" w:cs="Arial"/>
                <w:sz w:val="20"/>
                <w:szCs w:val="20"/>
                <w:lang w:val="it-IT"/>
              </w:rPr>
            </w:pPr>
          </w:p>
        </w:tc>
        <w:tc>
          <w:tcPr>
            <w:tcW w:w="1191" w:type="pct"/>
          </w:tcPr>
          <w:p w:rsidR="00822F7F" w:rsidRPr="002A26C3" w:rsidRDefault="00822F7F" w:rsidP="00BE709B">
            <w:pPr>
              <w:spacing w:after="120"/>
              <w:jc w:val="both"/>
              <w:rPr>
                <w:rFonts w:ascii="Verdana" w:hAnsi="Verdana" w:cs="Arial"/>
                <w:sz w:val="20"/>
                <w:szCs w:val="20"/>
                <w:lang w:val="it-IT"/>
              </w:rPr>
            </w:pPr>
          </w:p>
        </w:tc>
        <w:tc>
          <w:tcPr>
            <w:tcW w:w="2196" w:type="pct"/>
          </w:tcPr>
          <w:p w:rsidR="00822F7F" w:rsidRPr="002A26C3" w:rsidRDefault="00822F7F" w:rsidP="00BE709B">
            <w:pPr>
              <w:spacing w:after="120"/>
              <w:jc w:val="both"/>
              <w:rPr>
                <w:rFonts w:ascii="Verdana" w:hAnsi="Verdana" w:cs="Arial"/>
                <w:sz w:val="20"/>
                <w:szCs w:val="20"/>
                <w:lang w:val="it-IT"/>
              </w:rPr>
            </w:pPr>
          </w:p>
        </w:tc>
      </w:tr>
      <w:tr w:rsidR="00822F7F" w:rsidRPr="00BB67BD" w:rsidTr="00BE709B">
        <w:trPr>
          <w:trHeight w:val="51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B67BD" w:rsidTr="00BE709B">
        <w:trPr>
          <w:trHeight w:val="525"/>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B67BD" w:rsidTr="00BE709B">
        <w:trPr>
          <w:trHeight w:val="533"/>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B67BD" w:rsidTr="00BE709B">
        <w:trPr>
          <w:trHeight w:val="52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Pr="00BE4AC1" w:rsidRDefault="00822F7F" w:rsidP="00822F7F">
      <w:pPr>
        <w:spacing w:after="120"/>
        <w:ind w:left="851"/>
        <w:jc w:val="both"/>
        <w:rPr>
          <w:rFonts w:ascii="Verdana" w:hAnsi="Verdana"/>
          <w:sz w:val="20"/>
          <w:szCs w:val="20"/>
          <w:highlight w:val="cyan"/>
          <w:lang w:val="it-IT"/>
        </w:rPr>
      </w:pPr>
    </w:p>
    <w:p w:rsidR="00822F7F"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w:t>
      </w:r>
      <w:proofErr w:type="spellStart"/>
      <w:r w:rsidRPr="002A26C3">
        <w:rPr>
          <w:rFonts w:ascii="Verdana" w:hAnsi="Verdana"/>
          <w:sz w:val="20"/>
          <w:szCs w:val="20"/>
          <w:lang w:val="it-IT"/>
        </w:rPr>
        <w:t>interdittiva</w:t>
      </w:r>
      <w:proofErr w:type="spellEnd"/>
      <w:r w:rsidRPr="002A26C3">
        <w:rPr>
          <w:rFonts w:ascii="Verdana" w:hAnsi="Verdana"/>
          <w:sz w:val="20"/>
          <w:szCs w:val="20"/>
          <w:lang w:val="it-IT"/>
        </w:rPr>
        <w:t xml:space="preserve"> di cui all'art. </w:t>
      </w:r>
      <w:hyperlink r:id="rId8" w:anchor="id=10LX0000146502ART10,__m=document" w:history="1">
        <w:r w:rsidR="000447F9">
          <w:rPr>
            <w:rFonts w:ascii="Verdana" w:hAnsi="Verdana"/>
            <w:sz w:val="20"/>
            <w:szCs w:val="20"/>
            <w:lang w:val="it-IT"/>
          </w:rPr>
          <w:t>9, comma 2</w:t>
        </w:r>
        <w:r w:rsidRPr="002A26C3">
          <w:rPr>
            <w:rFonts w:ascii="Verdana" w:hAnsi="Verdana"/>
            <w:sz w:val="20"/>
            <w:szCs w:val="20"/>
            <w:lang w:val="it-IT"/>
          </w:rPr>
          <w:t>, lettera c)</w:t>
        </w:r>
      </w:hyperlink>
      <w:r w:rsidRPr="002A26C3">
        <w:rPr>
          <w:rFonts w:ascii="Verdana" w:hAnsi="Verdana"/>
          <w:sz w:val="20"/>
          <w:szCs w:val="20"/>
          <w:lang w:val="it-IT"/>
        </w:rPr>
        <w:t xml:space="preserve"> del </w:t>
      </w:r>
      <w:hyperlink r:id="rId9" w:anchor="id=10LX0000146502ART0,__m=document" w:history="1">
        <w:r w:rsidRPr="002A26C3">
          <w:rPr>
            <w:rFonts w:ascii="Verdana" w:hAnsi="Verdana"/>
            <w:sz w:val="20"/>
            <w:szCs w:val="20"/>
            <w:lang w:val="it-IT"/>
          </w:rPr>
          <w:t>Decreto Legislativo 8 giugno 2001, n. 231</w:t>
        </w:r>
      </w:hyperlink>
      <w:r w:rsidRPr="002A26C3">
        <w:rPr>
          <w:rFonts w:ascii="Verdana" w:hAnsi="Verdana"/>
          <w:sz w:val="20"/>
          <w:szCs w:val="20"/>
          <w:lang w:val="it-IT"/>
        </w:rPr>
        <w:t xml:space="preserve"> o di altra sanzione che comporti il divieto di contrarre con la pubblica amministrazione, compresi i provvedimenti </w:t>
      </w:r>
      <w:proofErr w:type="spellStart"/>
      <w:r w:rsidRPr="002A26C3">
        <w:rPr>
          <w:rFonts w:ascii="Verdana" w:hAnsi="Verdana"/>
          <w:sz w:val="20"/>
          <w:szCs w:val="20"/>
          <w:lang w:val="it-IT"/>
        </w:rPr>
        <w:t>interdittivi</w:t>
      </w:r>
      <w:proofErr w:type="spellEnd"/>
      <w:r w:rsidRPr="002A26C3">
        <w:rPr>
          <w:rFonts w:ascii="Verdana" w:hAnsi="Verdana"/>
          <w:sz w:val="20"/>
          <w:szCs w:val="20"/>
          <w:lang w:val="it-IT"/>
        </w:rPr>
        <w:t xml:space="preserve"> di cui all'articolo </w:t>
      </w:r>
      <w:hyperlink r:id="rId10" w:anchor="id=10LX0000604861ART35,__m=document" w:history="1">
        <w:r w:rsidRPr="002A26C3">
          <w:rPr>
            <w:rFonts w:ascii="Verdana" w:hAnsi="Verdana"/>
            <w:sz w:val="20"/>
            <w:szCs w:val="20"/>
            <w:lang w:val="it-IT"/>
          </w:rPr>
          <w:t>14</w:t>
        </w:r>
      </w:hyperlink>
      <w:r w:rsidRPr="002A26C3">
        <w:rPr>
          <w:rFonts w:ascii="Verdana" w:hAnsi="Verdana"/>
          <w:sz w:val="20"/>
          <w:szCs w:val="20"/>
          <w:lang w:val="it-IT"/>
        </w:rPr>
        <w:t xml:space="preserve"> del </w:t>
      </w:r>
      <w:hyperlink r:id="rId11"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f, della presente dichiarazione); </w:t>
      </w:r>
    </w:p>
    <w:p w:rsidR="00F20CEF" w:rsidRPr="00F20CEF" w:rsidRDefault="00F20CEF" w:rsidP="00F20CEF">
      <w:pPr>
        <w:numPr>
          <w:ilvl w:val="0"/>
          <w:numId w:val="36"/>
        </w:numPr>
        <w:spacing w:after="120"/>
        <w:jc w:val="both"/>
        <w:rPr>
          <w:rFonts w:ascii="Verdana" w:hAnsi="Verdana" w:cs="Arial"/>
          <w:sz w:val="20"/>
          <w:szCs w:val="20"/>
          <w:lang w:val="it-IT"/>
        </w:rPr>
      </w:pPr>
      <w:proofErr w:type="gramStart"/>
      <w:r w:rsidRPr="00C85158">
        <w:rPr>
          <w:rFonts w:ascii="Verdana" w:hAnsi="Verdana" w:cs="Arial"/>
          <w:sz w:val="20"/>
          <w:szCs w:val="20"/>
          <w:lang w:val="it-IT"/>
        </w:rPr>
        <w:t>iscrizione</w:t>
      </w:r>
      <w:proofErr w:type="gramEnd"/>
      <w:r w:rsidRPr="00C85158">
        <w:rPr>
          <w:rFonts w:ascii="Verdana" w:hAnsi="Verdana" w:cs="Arial"/>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822F7F" w:rsidRPr="00B1035D"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iscrizione</w:t>
      </w:r>
      <w:proofErr w:type="gramEnd"/>
      <w:r w:rsidRPr="002A26C3">
        <w:rPr>
          <w:rFonts w:ascii="Verdana" w:hAnsi="Verdana"/>
          <w:sz w:val="20"/>
          <w:szCs w:val="20"/>
          <w:lang w:val="it-IT"/>
        </w:rPr>
        <w:t xml:space="preserv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w:t>
      </w:r>
      <w:proofErr w:type="gramStart"/>
      <w:r w:rsidRPr="002A26C3">
        <w:rPr>
          <w:rFonts w:ascii="Verdana" w:hAnsi="Verdana"/>
          <w:sz w:val="20"/>
          <w:szCs w:val="20"/>
          <w:lang w:val="it-IT"/>
        </w:rPr>
        <w:t>per</w:t>
      </w:r>
      <w:proofErr w:type="gramEnd"/>
      <w:r w:rsidRPr="002A26C3">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violazione</w:t>
      </w:r>
      <w:proofErr w:type="gramEnd"/>
      <w:r w:rsidRPr="002A26C3">
        <w:rPr>
          <w:rFonts w:ascii="Verdana" w:hAnsi="Verdana"/>
          <w:sz w:val="20"/>
          <w:szCs w:val="20"/>
          <w:lang w:val="it-IT"/>
        </w:rPr>
        <w:t>,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 xml:space="preserve">nell’anno antecedente alla data di invio del presente documento, </w:t>
      </w:r>
      <w:r w:rsidRPr="002A26C3">
        <w:rPr>
          <w:rFonts w:ascii="Verdana" w:hAnsi="Verdana"/>
          <w:sz w:val="20"/>
          <w:szCs w:val="20"/>
          <w:lang w:val="it-IT"/>
        </w:rPr>
        <w:t xml:space="preserve">del divieto di intestazione fiduciaria di cui all'art. </w:t>
      </w:r>
      <w:hyperlink r:id="rId12"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3" w:anchor="id=10LX0000110025ART0,__m=document" w:history="1">
        <w:r w:rsidRPr="002A26C3">
          <w:rPr>
            <w:rFonts w:ascii="Verdana" w:hAnsi="Verdana"/>
            <w:sz w:val="20"/>
            <w:szCs w:val="20"/>
            <w:lang w:val="it-IT"/>
          </w:rPr>
          <w:t>Legge 19 marzo 1990, n. 55</w:t>
        </w:r>
      </w:hyperlink>
      <w:r w:rsidRPr="002A26C3">
        <w:rPr>
          <w:rFonts w:ascii="Verdana" w:hAnsi="Verdana"/>
          <w:sz w:val="20"/>
          <w:szCs w:val="20"/>
          <w:lang w:val="it-IT"/>
        </w:rPr>
        <w:t xml:space="preserve">, ove la violazione non sia stata rimossa (cfr.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cs="Arial"/>
          <w:sz w:val="20"/>
          <w:szCs w:val="20"/>
          <w:lang w:val="it-IT"/>
        </w:rPr>
        <w:t>mancato</w:t>
      </w:r>
      <w:proofErr w:type="gramEnd"/>
      <w:r w:rsidRPr="002A26C3">
        <w:rPr>
          <w:rFonts w:ascii="Verdana" w:hAnsi="Verdana" w:cs="Arial"/>
          <w:sz w:val="20"/>
          <w:szCs w:val="20"/>
          <w:lang w:val="it-IT"/>
        </w:rPr>
        <w:t xml:space="preserve">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2A26C3">
          <w:rPr>
            <w:rFonts w:ascii="Verdana" w:hAnsi="Verdana"/>
            <w:sz w:val="20"/>
            <w:szCs w:val="20"/>
            <w:lang w:val="it-IT"/>
          </w:rPr>
          <w:t>7</w:t>
        </w:r>
      </w:hyperlink>
      <w:r w:rsidRPr="002A26C3">
        <w:rPr>
          <w:rFonts w:ascii="Verdana" w:hAnsi="Verdana"/>
          <w:sz w:val="20"/>
          <w:szCs w:val="20"/>
          <w:lang w:val="it-IT"/>
        </w:rPr>
        <w:t xml:space="preserve"> del </w:t>
      </w:r>
      <w:hyperlink r:id="rId15" w:anchor="id=10LX0000119983ART0,__m=document" w:history="1">
        <w:r w:rsidRPr="002A26C3">
          <w:rPr>
            <w:rFonts w:ascii="Verdana" w:hAnsi="Verdana"/>
            <w:sz w:val="20"/>
            <w:szCs w:val="20"/>
            <w:lang w:val="it-IT"/>
          </w:rPr>
          <w:t>Decreto-Legge 13 maggio 1991, n. 152</w:t>
        </w:r>
      </w:hyperlink>
      <w:r w:rsidRPr="002A26C3">
        <w:rPr>
          <w:rFonts w:ascii="Verdana" w:hAnsi="Verdana"/>
          <w:sz w:val="20"/>
          <w:szCs w:val="20"/>
          <w:lang w:val="it-IT"/>
        </w:rPr>
        <w:t xml:space="preserve">, convertito, con modificazioni, dalla </w:t>
      </w:r>
      <w:hyperlink r:id="rId16" w:anchor="id=10LX0000136826ART0,__m=document" w:history="1">
        <w:r w:rsidRPr="002A26C3">
          <w:rPr>
            <w:rFonts w:ascii="Verdana" w:hAnsi="Verdana"/>
            <w:sz w:val="20"/>
            <w:szCs w:val="20"/>
            <w:lang w:val="it-IT"/>
          </w:rPr>
          <w:t>Legge 12 luglio 1991, n. 203</w:t>
        </w:r>
      </w:hyperlink>
      <w:r w:rsidRPr="002A26C3">
        <w:rPr>
          <w:rFonts w:ascii="Verdana" w:hAnsi="Verdana"/>
          <w:sz w:val="20"/>
          <w:szCs w:val="20"/>
          <w:lang w:val="it-IT"/>
        </w:rPr>
        <w:t xml:space="preserve"> (salvo che ricorrano i casi previsti dall'art. </w:t>
      </w:r>
      <w:hyperlink r:id="rId17" w:anchor="id=10LX0000110082ART4,__m=document" w:history="1">
        <w:r w:rsidRPr="002A26C3">
          <w:rPr>
            <w:rFonts w:ascii="Verdana" w:hAnsi="Verdana"/>
            <w:sz w:val="20"/>
            <w:szCs w:val="20"/>
            <w:lang w:val="it-IT"/>
          </w:rPr>
          <w:t>4, comma</w:t>
        </w:r>
      </w:hyperlink>
      <w:r w:rsidRPr="002A26C3">
        <w:rPr>
          <w:rFonts w:ascii="Verdana" w:hAnsi="Verdana"/>
          <w:sz w:val="20"/>
          <w:szCs w:val="20"/>
          <w:lang w:val="it-IT"/>
        </w:rPr>
        <w:t xml:space="preserve"> </w:t>
      </w:r>
      <w:r w:rsidR="000447F9">
        <w:rPr>
          <w:rFonts w:ascii="Verdana" w:hAnsi="Verdana"/>
          <w:sz w:val="20"/>
          <w:szCs w:val="20"/>
          <w:lang w:val="it-IT"/>
        </w:rPr>
        <w:t>1</w:t>
      </w:r>
      <w:r w:rsidRPr="002A26C3">
        <w:rPr>
          <w:rFonts w:ascii="Verdana" w:hAnsi="Verdana"/>
          <w:sz w:val="20"/>
          <w:szCs w:val="20"/>
          <w:lang w:val="it-IT"/>
        </w:rPr>
        <w:t xml:space="preserve">, della </w:t>
      </w:r>
      <w:hyperlink r:id="rId18" w:anchor="id=10LX0000110082ART0,__m=document" w:history="1">
        <w:r w:rsidRPr="002A26C3">
          <w:rPr>
            <w:rFonts w:ascii="Verdana" w:hAnsi="Verdana"/>
            <w:sz w:val="20"/>
            <w:szCs w:val="20"/>
            <w:lang w:val="it-IT"/>
          </w:rPr>
          <w:t>Legge 24 novembre 1981, n. 689</w:t>
        </w:r>
      </w:hyperlink>
      <w:r w:rsidRPr="002A26C3">
        <w:rPr>
          <w:rFonts w:ascii="Verdana" w:hAnsi="Verdana"/>
          <w:sz w:val="20"/>
          <w:szCs w:val="20"/>
          <w:lang w:val="it-IT"/>
        </w:rPr>
        <w:t xml:space="preserve">), risultante dalla richiesta di rinvio a giudizio formulata nei confronti  dell’operatore </w:t>
      </w:r>
      <w:r w:rsidRPr="002A26C3">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l) del </w:t>
      </w:r>
      <w:proofErr w:type="spellStart"/>
      <w:r w:rsidRPr="002A26C3">
        <w:rPr>
          <w:rFonts w:ascii="Verdana" w:hAnsi="Verdana" w:cs="Arial"/>
          <w:sz w:val="20"/>
          <w:szCs w:val="20"/>
          <w:lang w:val="it-IT"/>
        </w:rPr>
        <w:t>D.Lgs.</w:t>
      </w:r>
      <w:proofErr w:type="spellEnd"/>
      <w:r w:rsidRPr="002A26C3">
        <w:rPr>
          <w:rFonts w:ascii="Verdana" w:hAnsi="Verdana" w:cs="Arial"/>
          <w:sz w:val="20"/>
          <w:szCs w:val="20"/>
          <w:lang w:val="it-IT"/>
        </w:rPr>
        <w:t xml:space="preserve"> </w:t>
      </w:r>
      <w:r w:rsidR="00A72782">
        <w:rPr>
          <w:rFonts w:ascii="Verdana" w:hAnsi="Verdana" w:cs="Arial"/>
          <w:sz w:val="20"/>
          <w:szCs w:val="20"/>
          <w:lang w:val="it-IT"/>
        </w:rPr>
        <w:t>50/2016</w:t>
      </w:r>
      <w:r w:rsidRPr="002A26C3">
        <w:rPr>
          <w:rFonts w:ascii="Verdana" w:hAnsi="Verdana" w:cs="Arial"/>
          <w:sz w:val="20"/>
          <w:szCs w:val="20"/>
          <w:lang w:val="it-IT"/>
        </w:rPr>
        <w:t xml:space="preserve"> </w:t>
      </w:r>
      <w:r w:rsidRPr="002A26C3">
        <w:rPr>
          <w:rFonts w:ascii="Verdana" w:hAnsi="Verdana"/>
          <w:sz w:val="20"/>
          <w:szCs w:val="20"/>
          <w:lang w:val="it-IT"/>
        </w:rPr>
        <w:t xml:space="preserve">(cfr. sezione A5,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l, della presente dichiarazione);</w:t>
      </w:r>
    </w:p>
    <w:p w:rsidR="00822F7F" w:rsidRDefault="00822F7F" w:rsidP="00822F7F">
      <w:pPr>
        <w:spacing w:after="120"/>
        <w:ind w:left="709"/>
        <w:jc w:val="both"/>
        <w:rPr>
          <w:rFonts w:ascii="Verdana" w:hAnsi="Verdana" w:cs="Arial"/>
          <w:b/>
          <w:sz w:val="20"/>
          <w:szCs w:val="20"/>
          <w:lang w:val="it-IT"/>
        </w:rPr>
      </w:pPr>
      <w:proofErr w:type="gramStart"/>
      <w:r w:rsidRPr="002A26C3">
        <w:rPr>
          <w:rFonts w:ascii="Verdana" w:hAnsi="Verdana" w:cs="Arial"/>
          <w:b/>
          <w:sz w:val="20"/>
          <w:szCs w:val="20"/>
          <w:lang w:val="it-IT"/>
        </w:rPr>
        <w:t>ma</w:t>
      </w:r>
      <w:proofErr w:type="gramEnd"/>
      <w:r w:rsidRPr="002A26C3">
        <w:rPr>
          <w:rFonts w:ascii="Verdana" w:hAnsi="Verdana" w:cs="Arial"/>
          <w:b/>
          <w:sz w:val="20"/>
          <w:szCs w:val="20"/>
          <w:lang w:val="it-IT"/>
        </w:rPr>
        <w:t xml:space="preserve"> che: </w:t>
      </w:r>
    </w:p>
    <w:p w:rsidR="00D83AFC" w:rsidRPr="00D83AFC" w:rsidRDefault="00D83AFC" w:rsidP="00D83AFC">
      <w:pPr>
        <w:spacing w:after="120"/>
        <w:jc w:val="both"/>
        <w:rPr>
          <w:rFonts w:ascii="Verdana" w:hAnsi="Verdana" w:cs="Arial"/>
          <w:b/>
          <w:i/>
          <w:sz w:val="20"/>
          <w:szCs w:val="20"/>
          <w:lang w:val="it-IT"/>
        </w:rPr>
      </w:pPr>
      <w:r w:rsidRPr="00D83AFC">
        <w:rPr>
          <w:rFonts w:ascii="Verdana" w:hAnsi="Verdana" w:cs="Arial"/>
          <w:b/>
          <w:i/>
          <w:sz w:val="20"/>
          <w:szCs w:val="20"/>
          <w:lang w:val="it-IT"/>
        </w:rPr>
        <w:t>[</w:t>
      </w:r>
      <w:proofErr w:type="gramStart"/>
      <w:r w:rsidRPr="00D83AFC">
        <w:rPr>
          <w:rFonts w:ascii="Verdana" w:hAnsi="Verdana" w:cs="Arial"/>
          <w:b/>
          <w:i/>
          <w:sz w:val="20"/>
          <w:szCs w:val="20"/>
          <w:lang w:val="it-IT"/>
        </w:rPr>
        <w:t>clausole</w:t>
      </w:r>
      <w:proofErr w:type="gramEnd"/>
      <w:r w:rsidRPr="00D83AFC">
        <w:rPr>
          <w:rFonts w:ascii="Verdana" w:hAnsi="Verdana" w:cs="Arial"/>
          <w:b/>
          <w:i/>
          <w:sz w:val="20"/>
          <w:szCs w:val="20"/>
          <w:lang w:val="it-IT"/>
        </w:rPr>
        <w:t xml:space="preserve"> a soluzione alternativa]</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lastRenderedPageBreak/>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2A26C3">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4880" w:rsidRPr="00CC4880">
        <w:rPr>
          <w:rFonts w:ascii="Verdana" w:hAnsi="Verdana" w:cs="Arial"/>
          <w:b/>
          <w:sz w:val="20"/>
          <w:szCs w:val="20"/>
          <w:lang w:val="it-IT"/>
        </w:rPr>
        <w:t>aggiornate dalla Deliberazione A.N.A.C. n. 1008 dell’11 ottobre 2017</w:t>
      </w:r>
      <w:r w:rsidR="00CC4880">
        <w:rPr>
          <w:rFonts w:ascii="Verdana" w:hAnsi="Verdana" w:cs="Arial"/>
          <w:b/>
          <w:sz w:val="20"/>
          <w:szCs w:val="20"/>
          <w:lang w:val="it-IT"/>
        </w:rPr>
        <w:t xml:space="preserve">, </w:t>
      </w:r>
      <w:r w:rsidRPr="002A26C3">
        <w:rPr>
          <w:rFonts w:ascii="Verdana" w:hAnsi="Verdana" w:cs="Arial"/>
          <w:b/>
          <w:sz w:val="20"/>
          <w:szCs w:val="20"/>
          <w:lang w:val="it-IT"/>
        </w:rPr>
        <w:t>come specificate anche</w:t>
      </w:r>
      <w:r>
        <w:rPr>
          <w:rFonts w:ascii="Verdana" w:hAnsi="Verdana" w:cs="Arial"/>
          <w:b/>
          <w:sz w:val="20"/>
          <w:szCs w:val="20"/>
          <w:lang w:val="it-IT"/>
        </w:rPr>
        <w:t xml:space="preserve"> nella nota di compilazione n. 6</w:t>
      </w:r>
      <w:r w:rsidRPr="002A26C3">
        <w:rPr>
          <w:rFonts w:ascii="Verdana" w:hAnsi="Verdana" w:cs="Arial"/>
          <w:b/>
          <w:sz w:val="20"/>
          <w:szCs w:val="20"/>
          <w:lang w:val="it-IT"/>
        </w:rPr>
        <w:t>)</w:t>
      </w:r>
      <w:r w:rsidRPr="002A26C3">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BB67BD"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proofErr w:type="gramStart"/>
      <w:r w:rsidRPr="002A26C3">
        <w:rPr>
          <w:rFonts w:ascii="Verdana" w:hAnsi="Verdana" w:cs="Arial"/>
          <w:sz w:val="20"/>
          <w:szCs w:val="20"/>
          <w:lang w:val="it-IT"/>
        </w:rPr>
        <w:t>e</w:t>
      </w:r>
      <w:proofErr w:type="gramEnd"/>
      <w:r w:rsidRPr="002A26C3">
        <w:rPr>
          <w:rFonts w:ascii="Verdana" w:hAnsi="Verdana" w:cs="Arial"/>
          <w:sz w:val="20"/>
          <w:szCs w:val="20"/>
          <w:lang w:val="it-IT"/>
        </w:rPr>
        <w:t xml:space="preserv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EB3AD9" w:rsidRPr="00EB3AD9" w:rsidRDefault="00EB3AD9" w:rsidP="00EB3AD9">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w:t>
      </w:r>
      <w:r w:rsidR="00C23371">
        <w:rPr>
          <w:rFonts w:ascii="Verdana" w:hAnsi="Verdana" w:cs="Arial"/>
          <w:sz w:val="20"/>
          <w:szCs w:val="20"/>
          <w:lang w:val="it-IT"/>
        </w:rPr>
        <w:t xml:space="preserve"> pubblicazione del Bando di Gara</w:t>
      </w:r>
      <w:r w:rsidRPr="00F6203A">
        <w:rPr>
          <w:rFonts w:ascii="Verdana" w:hAnsi="Verdana" w:cs="Arial"/>
          <w:sz w:val="20"/>
          <w:szCs w:val="20"/>
          <w:lang w:val="it-IT"/>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182F65">
        <w:rPr>
          <w:rFonts w:ascii="Verdana" w:hAnsi="Verdana" w:cs="Arial"/>
          <w:sz w:val="20"/>
          <w:szCs w:val="20"/>
          <w:lang w:val="it-IT"/>
        </w:rPr>
        <w:t>ative di cui all’art. 6, comma 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C80F13" w:rsidRPr="00C1464C" w:rsidRDefault="00C80F13"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w:t>
      </w:r>
      <w:r w:rsidR="00A72782">
        <w:rPr>
          <w:rFonts w:ascii="Verdana" w:hAnsi="Verdana" w:cs="Arial"/>
          <w:i/>
          <w:sz w:val="20"/>
          <w:szCs w:val="20"/>
          <w:lang w:val="it-IT"/>
        </w:rPr>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proofErr w:type="gramStart"/>
      <w:r w:rsidRPr="00AE645D">
        <w:rPr>
          <w:rFonts w:ascii="Verdana" w:hAnsi="Verdana"/>
          <w:i/>
          <w:spacing w:val="-1"/>
          <w:sz w:val="20"/>
          <w:szCs w:val="20"/>
          <w:lang w:val="it-IT"/>
        </w:rPr>
        <w:t>il</w:t>
      </w:r>
      <w:proofErr w:type="gramEnd"/>
      <w:r w:rsidRPr="00AE645D">
        <w:rPr>
          <w:rFonts w:ascii="Verdana" w:hAnsi="Verdana"/>
          <w:i/>
          <w:spacing w:val="-1"/>
          <w:sz w:val="20"/>
          <w:szCs w:val="20"/>
          <w:lang w:val="it-IT"/>
        </w:rPr>
        <w:t xml:space="preserve"> Comunicato del Presidente dell’A.N.A.C. del 26 ottobre 2016, come riportato anche all’art. 12, comma 13, del Disciplinare, prevede che, nell’ambito degli “altri tipi di società o consorzio”</w:t>
      </w:r>
      <w:r w:rsidR="00374BD4">
        <w:rPr>
          <w:rFonts w:ascii="Verdana" w:hAnsi="Verdana"/>
          <w:i/>
          <w:spacing w:val="-1"/>
          <w:sz w:val="20"/>
          <w:szCs w:val="20"/>
          <w:lang w:val="it-IT"/>
        </w:rPr>
        <w:t>, siano ricompresi</w:t>
      </w:r>
      <w:r w:rsidRPr="00AE645D">
        <w:rPr>
          <w:rFonts w:ascii="Verdana" w:hAnsi="Verdana"/>
          <w:i/>
          <w:spacing w:val="-1"/>
          <w:sz w:val="20"/>
          <w:szCs w:val="20"/>
          <w:lang w:val="it-IT"/>
        </w:rPr>
        <w:t>:</w:t>
      </w:r>
    </w:p>
    <w:p w:rsidR="00AE645D" w:rsidRPr="00AE645D" w:rsidRDefault="00AE645D" w:rsidP="00AE645D">
      <w:pPr>
        <w:numPr>
          <w:ilvl w:val="0"/>
          <w:numId w:val="34"/>
        </w:numPr>
        <w:spacing w:after="120"/>
        <w:jc w:val="both"/>
        <w:rPr>
          <w:rFonts w:ascii="Verdana" w:hAnsi="Verdana"/>
          <w:i/>
          <w:sz w:val="20"/>
          <w:szCs w:val="20"/>
          <w:lang w:val="it-IT"/>
        </w:rPr>
      </w:pPr>
      <w:proofErr w:type="gramStart"/>
      <w:r w:rsidRPr="00AE645D">
        <w:rPr>
          <w:rFonts w:ascii="Verdana" w:hAnsi="Verdana"/>
          <w:i/>
          <w:spacing w:val="-1"/>
          <w:sz w:val="20"/>
          <w:szCs w:val="20"/>
          <w:lang w:val="it-IT"/>
        </w:rPr>
        <w:t>i</w:t>
      </w:r>
      <w:proofErr w:type="gramEnd"/>
      <w:r w:rsidRPr="00AE645D">
        <w:rPr>
          <w:rFonts w:ascii="Verdana" w:hAnsi="Verdana"/>
          <w:i/>
          <w:spacing w:val="-1"/>
          <w:sz w:val="20"/>
          <w:szCs w:val="20"/>
          <w:lang w:val="it-IT"/>
        </w:rPr>
        <w:t xml:space="preserve"> membri del consiglio di amministrazione cui sia stata conferita la legale rappresentanza, 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lastRenderedPageBreak/>
        <w:t>membri</w:t>
      </w:r>
      <w:proofErr w:type="gramEnd"/>
      <w:r w:rsidRPr="00AE645D">
        <w:rPr>
          <w:rFonts w:ascii="Verdana" w:hAnsi="Verdana"/>
          <w:i/>
          <w:spacing w:val="-1"/>
          <w:sz w:val="20"/>
          <w:szCs w:val="20"/>
          <w:lang w:val="it-IT"/>
        </w:rPr>
        <w:t xml:space="preserve"> del consiglio di gestione e ai membri del consiglio di sorveglianza,  nelle società con sistema di amministrazione dualistico;</w:t>
      </w:r>
    </w:p>
    <w:p w:rsidR="00AE645D" w:rsidRPr="001D2CF2" w:rsidRDefault="00AE645D" w:rsidP="00AE645D">
      <w:pPr>
        <w:widowControl w:val="0"/>
        <w:spacing w:after="120"/>
        <w:ind w:left="709" w:right="111"/>
        <w:jc w:val="both"/>
        <w:rPr>
          <w:rFonts w:ascii="Verdana" w:hAnsi="Verdana"/>
          <w:b/>
          <w:spacing w:val="-1"/>
          <w:sz w:val="20"/>
          <w:szCs w:val="20"/>
          <w:lang w:val="it-IT"/>
        </w:rPr>
      </w:pPr>
      <w:r w:rsidRPr="001D2CF2">
        <w:rPr>
          <w:rFonts w:ascii="Tahoma" w:hAnsi="Tahoma" w:cs="Tahoma"/>
          <w:b/>
          <w:bCs/>
          <w:sz w:val="20"/>
          <w:szCs w:val="20"/>
          <w:lang w:val="it-IT"/>
        </w:rPr>
        <w:t xml:space="preserve">(N.B. </w:t>
      </w:r>
      <w:r w:rsidR="00A72782" w:rsidRPr="001D2CF2">
        <w:rPr>
          <w:rFonts w:ascii="Tahoma" w:hAnsi="Tahoma" w:cs="Tahoma"/>
          <w:b/>
          <w:bCs/>
          <w:sz w:val="20"/>
          <w:szCs w:val="20"/>
          <w:lang w:val="it-IT"/>
        </w:rPr>
        <w:t xml:space="preserve">Si precisa che, a seguito delle modifiche apportate al Codice dal </w:t>
      </w:r>
      <w:proofErr w:type="spellStart"/>
      <w:r w:rsidR="00A72782" w:rsidRPr="001D2CF2">
        <w:rPr>
          <w:rFonts w:ascii="Tahoma" w:hAnsi="Tahoma" w:cs="Tahoma"/>
          <w:b/>
          <w:bCs/>
          <w:sz w:val="20"/>
          <w:szCs w:val="20"/>
          <w:lang w:val="it-IT"/>
        </w:rPr>
        <w:t>D.Lgs.</w:t>
      </w:r>
      <w:proofErr w:type="spellEnd"/>
      <w:r w:rsidR="00A72782" w:rsidRPr="001D2CF2">
        <w:rPr>
          <w:rFonts w:ascii="Tahoma" w:hAnsi="Tahoma" w:cs="Tahoma"/>
          <w:b/>
          <w:bCs/>
          <w:sz w:val="20"/>
          <w:szCs w:val="20"/>
          <w:lang w:val="it-IT"/>
        </w:rPr>
        <w:t xml:space="preserve"> 56/2017, i procuratori generali e gli institori rientrano tra i soggetti muniti di legale rappresentanza ai fini di cui sopra</w:t>
      </w:r>
      <w:r w:rsidR="00A72782" w:rsidRPr="001D2CF2" w:rsidDel="00A72782">
        <w:rPr>
          <w:rFonts w:ascii="Tahoma" w:hAnsi="Tahoma" w:cs="Tahoma"/>
          <w:b/>
          <w:bCs/>
          <w:sz w:val="20"/>
          <w:szCs w:val="20"/>
          <w:lang w:val="it-IT"/>
        </w:rPr>
        <w:t>)</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E645D">
        <w:rPr>
          <w:rFonts w:ascii="Verdana" w:hAnsi="Verdana"/>
          <w:i/>
          <w:spacing w:val="-1"/>
          <w:sz w:val="20"/>
          <w:szCs w:val="20"/>
          <w:lang w:val="it-IT"/>
        </w:rPr>
        <w:t>negotia</w:t>
      </w:r>
      <w:proofErr w:type="spellEnd"/>
      <w:r w:rsidRPr="00AE645D">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Pr="00AE645D">
        <w:rPr>
          <w:rFonts w:ascii="Verdana" w:hAnsi="Verdana"/>
          <w:i/>
          <w:spacing w:val="-1"/>
          <w:sz w:val="20"/>
          <w:szCs w:val="20"/>
          <w:lang w:val="it-IT"/>
        </w:rPr>
        <w:t>Lgs</w:t>
      </w:r>
      <w:proofErr w:type="spellEnd"/>
      <w:r w:rsidRPr="00AE645D">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A6175E" w:rsidRDefault="001E1A96" w:rsidP="001D2CF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ai</w:t>
      </w:r>
      <w:proofErr w:type="gramEnd"/>
      <w:r w:rsidRPr="0093236F">
        <w:rPr>
          <w:rFonts w:ascii="Verdana" w:hAnsi="Verdana" w:cs="Arial"/>
          <w:i/>
          <w:sz w:val="20"/>
          <w:szCs w:val="20"/>
          <w:lang w:val="it-IT"/>
        </w:rPr>
        <w:t xml:space="preserve"> sensi delle Linee guida A.N</w:t>
      </w:r>
      <w:r w:rsidR="00F03CFC">
        <w:rPr>
          <w:rFonts w:ascii="Verdana" w:hAnsi="Verdana" w:cs="Arial"/>
          <w:i/>
          <w:sz w:val="20"/>
          <w:szCs w:val="20"/>
          <w:lang w:val="it-IT"/>
        </w:rPr>
        <w:t xml:space="preserve">.AC. n. 6 del 16 novembre 2016, </w:t>
      </w:r>
      <w:r w:rsidR="00F03CFC" w:rsidRPr="00F03CFC">
        <w:rPr>
          <w:rFonts w:ascii="Verdana" w:hAnsi="Verdana" w:cs="Arial"/>
          <w:i/>
          <w:sz w:val="20"/>
          <w:szCs w:val="20"/>
          <w:lang w:val="it-IT"/>
        </w:rPr>
        <w:t>come aggiornate dalla Deliberazione A.N.A.C. n. 1008 dell’11 ottobre 2017</w:t>
      </w:r>
      <w:r w:rsidR="007D2CE9">
        <w:rPr>
          <w:rFonts w:ascii="Verdana" w:hAnsi="Verdana" w:cs="Arial"/>
          <w:i/>
          <w:sz w:val="20"/>
          <w:szCs w:val="20"/>
          <w:lang w:val="it-IT"/>
        </w:rPr>
        <w:t xml:space="preserve">, </w:t>
      </w:r>
      <w:r w:rsidRPr="0093236F">
        <w:rPr>
          <w:rFonts w:ascii="Verdana" w:hAnsi="Verdana" w:cs="Arial"/>
          <w:i/>
          <w:sz w:val="20"/>
          <w:szCs w:val="20"/>
          <w:lang w:val="it-IT"/>
        </w:rPr>
        <w:t>«Possono essere considerati idonei a evitare l’esclusione, oltre alla dimostrazione di aver risarcito o essersi impegnato formalmente e concretamente a risarcire il danno causato dall’illecito:</w:t>
      </w:r>
    </w:p>
    <w:p w:rsidR="001E1A96" w:rsidRPr="001D2CF2" w:rsidRDefault="001E1A96" w:rsidP="001D2CF2">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1E1A96" w:rsidRPr="001E1A96" w:rsidRDefault="001E1A96" w:rsidP="001D2CF2">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1E1A96" w:rsidRPr="001E1A96" w:rsidRDefault="001E1A96" w:rsidP="001D2CF2">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rinnovazione degli organi societari;</w:t>
      </w:r>
    </w:p>
    <w:p w:rsidR="001E1A96" w:rsidRPr="001E1A96" w:rsidRDefault="001E1A96" w:rsidP="001D2CF2">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C77CE3" w:rsidRPr="00C77CE3" w:rsidRDefault="001E1A96" w:rsidP="00C77CE3">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C77CE3" w:rsidRPr="00B20155" w:rsidRDefault="00C77CE3" w:rsidP="00C77CE3">
      <w:pPr>
        <w:numPr>
          <w:ilvl w:val="0"/>
          <w:numId w:val="3"/>
        </w:numPr>
        <w:tabs>
          <w:tab w:val="clear" w:pos="0"/>
          <w:tab w:val="num" w:pos="360"/>
        </w:tabs>
        <w:spacing w:after="120"/>
        <w:ind w:left="360" w:hanging="360"/>
        <w:jc w:val="both"/>
        <w:rPr>
          <w:rFonts w:ascii="Verdana" w:hAnsi="Verdana"/>
          <w:i/>
          <w:sz w:val="20"/>
          <w:szCs w:val="20"/>
          <w:lang w:val="it-IT"/>
        </w:rPr>
      </w:pPr>
      <w:proofErr w:type="gramStart"/>
      <w:r w:rsidRPr="00B20155">
        <w:rPr>
          <w:rFonts w:ascii="Verdana" w:hAnsi="Verdana"/>
          <w:bCs/>
          <w:sz w:val="20"/>
          <w:szCs w:val="20"/>
          <w:lang w:val="it-IT"/>
        </w:rPr>
        <w:t>con</w:t>
      </w:r>
      <w:proofErr w:type="gramEnd"/>
      <w:r w:rsidRPr="00B20155">
        <w:rPr>
          <w:rFonts w:ascii="Verdana" w:hAnsi="Verdana"/>
          <w:bCs/>
          <w:sz w:val="20"/>
          <w:szCs w:val="20"/>
          <w:lang w:val="it-IT"/>
        </w:rPr>
        <w:t xml:space="preserve"> riferimento ai reati rilevanti ai fini dell’art. 80, comma 5, </w:t>
      </w:r>
      <w:proofErr w:type="spellStart"/>
      <w:r w:rsidRPr="00B20155">
        <w:rPr>
          <w:rFonts w:ascii="Verdana" w:hAnsi="Verdana"/>
          <w:bCs/>
          <w:sz w:val="20"/>
          <w:szCs w:val="20"/>
          <w:lang w:val="it-IT"/>
        </w:rPr>
        <w:t>lett</w:t>
      </w:r>
      <w:proofErr w:type="spellEnd"/>
      <w:r w:rsidRPr="00B20155">
        <w:rPr>
          <w:rFonts w:ascii="Verdana" w:hAnsi="Verdana"/>
          <w:bCs/>
          <w:sz w:val="20"/>
          <w:szCs w:val="20"/>
          <w:lang w:val="it-IT"/>
        </w:rPr>
        <w:t>. c) del Codice, le Linee guida A.N.AC. n. 6 del 16 novembre 2016, come aggiornate dalla Deliberazione A.N.A.C. n. 1008 dell’11 ottobre 2017</w:t>
      </w:r>
      <w:r w:rsidRPr="00B20155">
        <w:rPr>
          <w:rFonts w:ascii="Verdana" w:hAnsi="Verdana"/>
          <w:bCs/>
          <w:i/>
          <w:sz w:val="20"/>
          <w:szCs w:val="20"/>
          <w:lang w:val="it-IT"/>
        </w:rPr>
        <w:t xml:space="preserve"> </w:t>
      </w:r>
      <w:r w:rsidRPr="00B20155">
        <w:rPr>
          <w:rFonts w:ascii="Verdana" w:hAnsi="Verdana"/>
          <w:bCs/>
          <w:sz w:val="20"/>
          <w:szCs w:val="20"/>
          <w:lang w:val="it-IT"/>
        </w:rPr>
        <w:t>prevedono che:</w:t>
      </w:r>
      <w:r w:rsidRPr="00B20155">
        <w:rPr>
          <w:rFonts w:ascii="Verdana" w:hAnsi="Verdana"/>
          <w:bCs/>
          <w:i/>
          <w:sz w:val="20"/>
          <w:szCs w:val="20"/>
          <w:lang w:val="it-IT"/>
        </w:rPr>
        <w:t xml:space="preserve"> «[…] In particolare, rilevano le condanne non definitive per i reati di seguito indicati a titolo esemplificativo, salvo che le stesse configurino altra causa ostativa che comporti l’automatica esclusione dalla procedure di affidamento ai sensi dell’art. 80 del codice: </w:t>
      </w:r>
    </w:p>
    <w:p w:rsidR="00C77CE3" w:rsidRPr="00B20155" w:rsidRDefault="00C77CE3" w:rsidP="00C77CE3">
      <w:pPr>
        <w:spacing w:after="120"/>
        <w:ind w:left="360"/>
        <w:jc w:val="both"/>
        <w:rPr>
          <w:rFonts w:ascii="Verdana" w:hAnsi="Verdana"/>
          <w:i/>
          <w:sz w:val="20"/>
          <w:szCs w:val="20"/>
          <w:lang w:val="it-IT"/>
        </w:rPr>
      </w:pPr>
      <w:r w:rsidRPr="00B20155">
        <w:rPr>
          <w:rFonts w:ascii="Verdana" w:hAnsi="Verdana"/>
          <w:bCs/>
          <w:i/>
          <w:sz w:val="20"/>
          <w:szCs w:val="20"/>
          <w:lang w:val="it-IT"/>
        </w:rPr>
        <w:t xml:space="preserve">a. abusivo esercizio di una professione; </w:t>
      </w:r>
    </w:p>
    <w:p w:rsidR="00C77CE3" w:rsidRPr="00B20155" w:rsidRDefault="00C77CE3" w:rsidP="00C77CE3">
      <w:pPr>
        <w:spacing w:after="120"/>
        <w:ind w:left="360"/>
        <w:jc w:val="both"/>
        <w:rPr>
          <w:rFonts w:ascii="Verdana" w:hAnsi="Verdana"/>
          <w:i/>
          <w:sz w:val="20"/>
          <w:szCs w:val="20"/>
          <w:lang w:val="it-IT"/>
        </w:rPr>
      </w:pPr>
      <w:r w:rsidRPr="00B20155">
        <w:rPr>
          <w:rFonts w:ascii="Verdana" w:hAnsi="Verdana"/>
          <w:bCs/>
          <w:i/>
          <w:sz w:val="20"/>
          <w:szCs w:val="20"/>
          <w:lang w:val="it-IT"/>
        </w:rPr>
        <w:t xml:space="preserve">b. reati fallimentari (bancarotta semplice e bancarotta fraudolenta, omessa dichiarazione di beni da comprendere nell’inventario fallimentare, ricorso abusivo al credito); </w:t>
      </w:r>
    </w:p>
    <w:p w:rsidR="00C77CE3" w:rsidRPr="00B20155" w:rsidRDefault="00C77CE3" w:rsidP="00C77CE3">
      <w:pPr>
        <w:spacing w:after="120"/>
        <w:ind w:left="360"/>
        <w:jc w:val="both"/>
        <w:rPr>
          <w:rFonts w:ascii="Verdana" w:hAnsi="Verdana"/>
          <w:i/>
          <w:sz w:val="20"/>
          <w:szCs w:val="20"/>
          <w:lang w:val="it-IT"/>
        </w:rPr>
      </w:pPr>
      <w:r w:rsidRPr="00B20155">
        <w:rPr>
          <w:rFonts w:ascii="Verdana" w:hAnsi="Verdana"/>
          <w:bCs/>
          <w:i/>
          <w:sz w:val="20"/>
          <w:szCs w:val="20"/>
          <w:lang w:val="it-IT"/>
        </w:rPr>
        <w:t xml:space="preserve">c. reati tributari ex d.lgs. 74/2000, i reati societari, i delitti contro l’industria e il commercio; </w:t>
      </w:r>
    </w:p>
    <w:p w:rsidR="00C77CE3" w:rsidRPr="00B20155" w:rsidRDefault="00C77CE3" w:rsidP="00C77CE3">
      <w:pPr>
        <w:spacing w:after="120"/>
        <w:ind w:left="360"/>
        <w:jc w:val="both"/>
        <w:rPr>
          <w:rFonts w:ascii="Verdana" w:hAnsi="Verdana"/>
          <w:i/>
          <w:sz w:val="20"/>
          <w:szCs w:val="20"/>
          <w:lang w:val="it-IT"/>
        </w:rPr>
      </w:pPr>
      <w:r w:rsidRPr="00B20155">
        <w:rPr>
          <w:rFonts w:ascii="Verdana" w:hAnsi="Verdana"/>
          <w:bCs/>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rsidR="00C77CE3" w:rsidRPr="00C77CE3" w:rsidRDefault="00C77CE3" w:rsidP="00C77CE3">
      <w:pPr>
        <w:spacing w:after="120"/>
        <w:ind w:left="360"/>
        <w:jc w:val="both"/>
        <w:rPr>
          <w:rFonts w:ascii="Verdana" w:hAnsi="Verdana"/>
          <w:i/>
          <w:sz w:val="20"/>
          <w:szCs w:val="20"/>
          <w:lang w:val="it-IT"/>
        </w:rPr>
      </w:pPr>
      <w:r w:rsidRPr="00B20155">
        <w:rPr>
          <w:rFonts w:ascii="Verdana" w:hAnsi="Verdana"/>
          <w:bCs/>
          <w:i/>
          <w:sz w:val="20"/>
          <w:szCs w:val="20"/>
          <w:lang w:val="it-IT"/>
        </w:rPr>
        <w:t xml:space="preserve">e. reati previsti dal d.lgs. 231/2001 […]». </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lastRenderedPageBreak/>
        <w:t>a</w:t>
      </w:r>
      <w:r w:rsidR="00C77CE3">
        <w:rPr>
          <w:rFonts w:ascii="Verdana" w:hAnsi="Verdana" w:cs="Arial"/>
          <w:i/>
          <w:sz w:val="20"/>
          <w:szCs w:val="20"/>
          <w:lang w:val="it-IT"/>
        </w:rPr>
        <w:t>lla</w:t>
      </w:r>
      <w:proofErr w:type="gramEnd"/>
      <w:r w:rsidRPr="0093236F">
        <w:rPr>
          <w:rFonts w:ascii="Verdana" w:hAnsi="Verdana" w:cs="Arial"/>
          <w:i/>
          <w:sz w:val="20"/>
          <w:szCs w:val="20"/>
          <w:lang w:val="it-IT"/>
        </w:rPr>
        <w:t xml:space="preserve">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E646DB" w:rsidRDefault="001E1A96" w:rsidP="00E646DB">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1E1A96" w:rsidRPr="00E646DB" w:rsidRDefault="001E1A96" w:rsidP="00E646DB">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E646DB">
        <w:rPr>
          <w:rFonts w:ascii="Verdana" w:hAnsi="Verdana" w:cs="Arial"/>
          <w:i/>
          <w:sz w:val="20"/>
          <w:szCs w:val="20"/>
          <w:lang w:val="it-IT"/>
        </w:rPr>
        <w:t>le</w:t>
      </w:r>
      <w:proofErr w:type="gramEnd"/>
      <w:r w:rsidRPr="00E646DB">
        <w:rPr>
          <w:rFonts w:ascii="Verdana" w:hAnsi="Verdana" w:cs="Arial"/>
          <w:i/>
          <w:sz w:val="20"/>
          <w:szCs w:val="20"/>
          <w:lang w:val="it-IT"/>
        </w:rPr>
        <w:t xml:space="preserv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18" w:rsidRDefault="007B1718">
      <w:r>
        <w:separator/>
      </w:r>
    </w:p>
  </w:endnote>
  <w:endnote w:type="continuationSeparator" w:id="0">
    <w:p w:rsidR="007B1718" w:rsidRDefault="007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0750A">
      <w:rPr>
        <w:rStyle w:val="Numeropagina"/>
        <w:rFonts w:ascii="Verdana" w:hAnsi="Verdana"/>
        <w:noProof/>
        <w:sz w:val="16"/>
        <w:szCs w:val="16"/>
      </w:rPr>
      <w:t>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18" w:rsidRDefault="007B1718">
      <w:r>
        <w:separator/>
      </w:r>
    </w:p>
  </w:footnote>
  <w:footnote w:type="continuationSeparator" w:id="0">
    <w:p w:rsidR="007B1718" w:rsidRDefault="007B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63" w:rsidRPr="00DB16C8" w:rsidRDefault="00C13D63" w:rsidP="00A5494B">
    <w:pPr>
      <w:pStyle w:val="Intestazione"/>
      <w:jc w:val="center"/>
    </w:pPr>
    <w:r w:rsidRPr="00727FDB">
      <w:rPr>
        <w:rFonts w:ascii="Verdana" w:hAnsi="Verdana"/>
        <w:i/>
        <w:sz w:val="16"/>
        <w:szCs w:val="16"/>
        <w:lang w:bidi="it-IT"/>
      </w:rPr>
      <w:t xml:space="preserve">Procedura aperta in ambito comunitario, ai sensi dell’art. 60 del </w:t>
    </w:r>
    <w:proofErr w:type="spellStart"/>
    <w:r w:rsidRPr="00727FDB">
      <w:rPr>
        <w:rFonts w:ascii="Verdana" w:hAnsi="Verdana"/>
        <w:i/>
        <w:sz w:val="16"/>
        <w:szCs w:val="16"/>
        <w:lang w:bidi="it-IT"/>
      </w:rPr>
      <w:t>D.Lgs.</w:t>
    </w:r>
    <w:proofErr w:type="spellEnd"/>
    <w:r w:rsidRPr="00727FDB">
      <w:rPr>
        <w:rFonts w:ascii="Verdana" w:hAnsi="Verdana"/>
        <w:i/>
        <w:sz w:val="16"/>
        <w:szCs w:val="16"/>
        <w:lang w:bidi="it-IT"/>
      </w:rPr>
      <w:t xml:space="preserve"> 50/2016, volta all’affidamento del «Servizio di vigilanza</w:t>
    </w:r>
    <w:r w:rsidR="00016B90" w:rsidRPr="00016B90">
      <w:rPr>
        <w:rFonts w:ascii="Verdana" w:hAnsi="Verdana"/>
        <w:i/>
        <w:sz w:val="16"/>
        <w:szCs w:val="16"/>
        <w:lang w:val="it-IT" w:bidi="it-IT"/>
      </w:rPr>
      <w:t>, comprensivo della gestione del sistema informativo della sicurezza, presso gli immobili della Direzione Generale dell’INPS»</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DB9"/>
    <w:rsid w:val="00003071"/>
    <w:rsid w:val="00006EB0"/>
    <w:rsid w:val="00007C79"/>
    <w:rsid w:val="00011017"/>
    <w:rsid w:val="00015B26"/>
    <w:rsid w:val="00016108"/>
    <w:rsid w:val="00016263"/>
    <w:rsid w:val="00016B90"/>
    <w:rsid w:val="0002138B"/>
    <w:rsid w:val="00021B54"/>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4E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3C7"/>
    <w:rsid w:val="000B5C3C"/>
    <w:rsid w:val="000B744C"/>
    <w:rsid w:val="000C004D"/>
    <w:rsid w:val="000C330E"/>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1EBA"/>
    <w:rsid w:val="000F2799"/>
    <w:rsid w:val="000F68BE"/>
    <w:rsid w:val="00100ACF"/>
    <w:rsid w:val="001030D2"/>
    <w:rsid w:val="00103B7A"/>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77C"/>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2F65"/>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2CF2"/>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2008"/>
    <w:rsid w:val="002031F9"/>
    <w:rsid w:val="00204381"/>
    <w:rsid w:val="00205E3E"/>
    <w:rsid w:val="002063D8"/>
    <w:rsid w:val="0020734A"/>
    <w:rsid w:val="00212609"/>
    <w:rsid w:val="002133D7"/>
    <w:rsid w:val="00213FD2"/>
    <w:rsid w:val="00214662"/>
    <w:rsid w:val="00214764"/>
    <w:rsid w:val="0021485C"/>
    <w:rsid w:val="002165EF"/>
    <w:rsid w:val="00216A3E"/>
    <w:rsid w:val="00220890"/>
    <w:rsid w:val="00221AAA"/>
    <w:rsid w:val="00224101"/>
    <w:rsid w:val="002243FF"/>
    <w:rsid w:val="002255DA"/>
    <w:rsid w:val="0022649C"/>
    <w:rsid w:val="0023261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2DD5"/>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E728B"/>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829"/>
    <w:rsid w:val="00352281"/>
    <w:rsid w:val="00352C80"/>
    <w:rsid w:val="00356705"/>
    <w:rsid w:val="00356F5A"/>
    <w:rsid w:val="00357A61"/>
    <w:rsid w:val="003633FC"/>
    <w:rsid w:val="0036647B"/>
    <w:rsid w:val="00366DD9"/>
    <w:rsid w:val="0036786B"/>
    <w:rsid w:val="00370E12"/>
    <w:rsid w:val="0037109F"/>
    <w:rsid w:val="00371205"/>
    <w:rsid w:val="00371E19"/>
    <w:rsid w:val="00374BD4"/>
    <w:rsid w:val="0037517C"/>
    <w:rsid w:val="003816DE"/>
    <w:rsid w:val="00382B6F"/>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0DC5"/>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44CF"/>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0E01"/>
    <w:rsid w:val="00473125"/>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46E96"/>
    <w:rsid w:val="00550451"/>
    <w:rsid w:val="00550657"/>
    <w:rsid w:val="005520AA"/>
    <w:rsid w:val="005531EF"/>
    <w:rsid w:val="00554FF9"/>
    <w:rsid w:val="00560BF2"/>
    <w:rsid w:val="00561B27"/>
    <w:rsid w:val="00562628"/>
    <w:rsid w:val="00563AED"/>
    <w:rsid w:val="00563CBD"/>
    <w:rsid w:val="005648CE"/>
    <w:rsid w:val="005650FA"/>
    <w:rsid w:val="00566682"/>
    <w:rsid w:val="00570625"/>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4C12"/>
    <w:rsid w:val="00605298"/>
    <w:rsid w:val="00610B99"/>
    <w:rsid w:val="00611331"/>
    <w:rsid w:val="006150AC"/>
    <w:rsid w:val="00615428"/>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147F"/>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07D1"/>
    <w:rsid w:val="00701C63"/>
    <w:rsid w:val="0070224B"/>
    <w:rsid w:val="007029BF"/>
    <w:rsid w:val="00702A20"/>
    <w:rsid w:val="007040F3"/>
    <w:rsid w:val="00705259"/>
    <w:rsid w:val="0070662A"/>
    <w:rsid w:val="0070698A"/>
    <w:rsid w:val="0071018E"/>
    <w:rsid w:val="007114F4"/>
    <w:rsid w:val="0071560F"/>
    <w:rsid w:val="00717650"/>
    <w:rsid w:val="00717D33"/>
    <w:rsid w:val="00720C91"/>
    <w:rsid w:val="00720F90"/>
    <w:rsid w:val="0072225A"/>
    <w:rsid w:val="0072387E"/>
    <w:rsid w:val="00723A3D"/>
    <w:rsid w:val="00726185"/>
    <w:rsid w:val="007301D6"/>
    <w:rsid w:val="00732508"/>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67CD4"/>
    <w:rsid w:val="0077270F"/>
    <w:rsid w:val="00775C80"/>
    <w:rsid w:val="00776CAD"/>
    <w:rsid w:val="007812E3"/>
    <w:rsid w:val="00784938"/>
    <w:rsid w:val="0078676C"/>
    <w:rsid w:val="00786BE7"/>
    <w:rsid w:val="00792F06"/>
    <w:rsid w:val="00793497"/>
    <w:rsid w:val="0079375F"/>
    <w:rsid w:val="00794C0C"/>
    <w:rsid w:val="007A0311"/>
    <w:rsid w:val="007A1735"/>
    <w:rsid w:val="007A3186"/>
    <w:rsid w:val="007A7ADF"/>
    <w:rsid w:val="007B0840"/>
    <w:rsid w:val="007B1718"/>
    <w:rsid w:val="007B21B5"/>
    <w:rsid w:val="007B4D4B"/>
    <w:rsid w:val="007B527B"/>
    <w:rsid w:val="007B68C2"/>
    <w:rsid w:val="007B712C"/>
    <w:rsid w:val="007C0AA4"/>
    <w:rsid w:val="007C0C75"/>
    <w:rsid w:val="007C29A1"/>
    <w:rsid w:val="007D115D"/>
    <w:rsid w:val="007D2CE9"/>
    <w:rsid w:val="007D343D"/>
    <w:rsid w:val="007D3E07"/>
    <w:rsid w:val="007D4B30"/>
    <w:rsid w:val="007D52C3"/>
    <w:rsid w:val="007D744E"/>
    <w:rsid w:val="007D7980"/>
    <w:rsid w:val="007E0A08"/>
    <w:rsid w:val="007E1893"/>
    <w:rsid w:val="007E4027"/>
    <w:rsid w:val="007E5D67"/>
    <w:rsid w:val="007E7196"/>
    <w:rsid w:val="007F034C"/>
    <w:rsid w:val="007F1271"/>
    <w:rsid w:val="007F1BB9"/>
    <w:rsid w:val="007F1F3E"/>
    <w:rsid w:val="007F2E05"/>
    <w:rsid w:val="007F3BDF"/>
    <w:rsid w:val="007F4407"/>
    <w:rsid w:val="007F61F0"/>
    <w:rsid w:val="007F6478"/>
    <w:rsid w:val="0080119F"/>
    <w:rsid w:val="00802939"/>
    <w:rsid w:val="0080321C"/>
    <w:rsid w:val="00803CC8"/>
    <w:rsid w:val="008049E6"/>
    <w:rsid w:val="00807791"/>
    <w:rsid w:val="008121CD"/>
    <w:rsid w:val="008128E4"/>
    <w:rsid w:val="0081369B"/>
    <w:rsid w:val="008158B7"/>
    <w:rsid w:val="0081631E"/>
    <w:rsid w:val="00816CDB"/>
    <w:rsid w:val="00817A57"/>
    <w:rsid w:val="008207B7"/>
    <w:rsid w:val="00821111"/>
    <w:rsid w:val="00821760"/>
    <w:rsid w:val="00821ED1"/>
    <w:rsid w:val="00822F7F"/>
    <w:rsid w:val="0082387F"/>
    <w:rsid w:val="008245F0"/>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85D"/>
    <w:rsid w:val="008617C6"/>
    <w:rsid w:val="00861B28"/>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33D6"/>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494B"/>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0CF1"/>
    <w:rsid w:val="00B0309D"/>
    <w:rsid w:val="00B0750A"/>
    <w:rsid w:val="00B1035D"/>
    <w:rsid w:val="00B1122D"/>
    <w:rsid w:val="00B1333D"/>
    <w:rsid w:val="00B15234"/>
    <w:rsid w:val="00B15C26"/>
    <w:rsid w:val="00B20238"/>
    <w:rsid w:val="00B20FB0"/>
    <w:rsid w:val="00B21B1F"/>
    <w:rsid w:val="00B23169"/>
    <w:rsid w:val="00B2718E"/>
    <w:rsid w:val="00B3074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67BD"/>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3662"/>
    <w:rsid w:val="00BF50F8"/>
    <w:rsid w:val="00C022BF"/>
    <w:rsid w:val="00C02878"/>
    <w:rsid w:val="00C032DA"/>
    <w:rsid w:val="00C0355C"/>
    <w:rsid w:val="00C038F4"/>
    <w:rsid w:val="00C046A0"/>
    <w:rsid w:val="00C138D5"/>
    <w:rsid w:val="00C13D63"/>
    <w:rsid w:val="00C1464C"/>
    <w:rsid w:val="00C1573F"/>
    <w:rsid w:val="00C1662B"/>
    <w:rsid w:val="00C21AAE"/>
    <w:rsid w:val="00C23371"/>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77CE3"/>
    <w:rsid w:val="00C801E3"/>
    <w:rsid w:val="00C80401"/>
    <w:rsid w:val="00C80F13"/>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880"/>
    <w:rsid w:val="00CC4C4C"/>
    <w:rsid w:val="00CC67C8"/>
    <w:rsid w:val="00CC7C9A"/>
    <w:rsid w:val="00CD337A"/>
    <w:rsid w:val="00CD3F4B"/>
    <w:rsid w:val="00CD477D"/>
    <w:rsid w:val="00CD4BEB"/>
    <w:rsid w:val="00CD6113"/>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2D6"/>
    <w:rsid w:val="00D324F5"/>
    <w:rsid w:val="00D32BDE"/>
    <w:rsid w:val="00D33E66"/>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607"/>
    <w:rsid w:val="00D83AFC"/>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6582"/>
    <w:rsid w:val="00DA7396"/>
    <w:rsid w:val="00DA74AF"/>
    <w:rsid w:val="00DA7F86"/>
    <w:rsid w:val="00DB00C4"/>
    <w:rsid w:val="00DB0491"/>
    <w:rsid w:val="00DB16C8"/>
    <w:rsid w:val="00DB4E4A"/>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16B15"/>
    <w:rsid w:val="00E21856"/>
    <w:rsid w:val="00E21ACA"/>
    <w:rsid w:val="00E22811"/>
    <w:rsid w:val="00E22A7F"/>
    <w:rsid w:val="00E22A8C"/>
    <w:rsid w:val="00E2419A"/>
    <w:rsid w:val="00E244FB"/>
    <w:rsid w:val="00E25954"/>
    <w:rsid w:val="00E26E41"/>
    <w:rsid w:val="00E271B0"/>
    <w:rsid w:val="00E277D2"/>
    <w:rsid w:val="00E30D0F"/>
    <w:rsid w:val="00E31C15"/>
    <w:rsid w:val="00E35C99"/>
    <w:rsid w:val="00E41377"/>
    <w:rsid w:val="00E416B9"/>
    <w:rsid w:val="00E421E4"/>
    <w:rsid w:val="00E432F4"/>
    <w:rsid w:val="00E46732"/>
    <w:rsid w:val="00E507A6"/>
    <w:rsid w:val="00E5107B"/>
    <w:rsid w:val="00E532BD"/>
    <w:rsid w:val="00E54308"/>
    <w:rsid w:val="00E56C5F"/>
    <w:rsid w:val="00E605AA"/>
    <w:rsid w:val="00E64238"/>
    <w:rsid w:val="00E646DB"/>
    <w:rsid w:val="00E67D03"/>
    <w:rsid w:val="00E70F9F"/>
    <w:rsid w:val="00E733CF"/>
    <w:rsid w:val="00E73B0A"/>
    <w:rsid w:val="00E73CD9"/>
    <w:rsid w:val="00E74333"/>
    <w:rsid w:val="00E802A9"/>
    <w:rsid w:val="00E80B0C"/>
    <w:rsid w:val="00E82001"/>
    <w:rsid w:val="00E827ED"/>
    <w:rsid w:val="00E82835"/>
    <w:rsid w:val="00E85C68"/>
    <w:rsid w:val="00E876F3"/>
    <w:rsid w:val="00E91B7A"/>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3770"/>
    <w:rsid w:val="00EF48BF"/>
    <w:rsid w:val="00F00FE5"/>
    <w:rsid w:val="00F0175E"/>
    <w:rsid w:val="00F0188F"/>
    <w:rsid w:val="00F03754"/>
    <w:rsid w:val="00F03CFC"/>
    <w:rsid w:val="00F04044"/>
    <w:rsid w:val="00F0488E"/>
    <w:rsid w:val="00F050E7"/>
    <w:rsid w:val="00F05BF7"/>
    <w:rsid w:val="00F0698E"/>
    <w:rsid w:val="00F06E3F"/>
    <w:rsid w:val="00F07285"/>
    <w:rsid w:val="00F07D07"/>
    <w:rsid w:val="00F07FC0"/>
    <w:rsid w:val="00F1099E"/>
    <w:rsid w:val="00F122A5"/>
    <w:rsid w:val="00F12FE1"/>
    <w:rsid w:val="00F166EE"/>
    <w:rsid w:val="00F17C08"/>
    <w:rsid w:val="00F208A2"/>
    <w:rsid w:val="00F208C6"/>
    <w:rsid w:val="00F20CEF"/>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4104"/>
    <w:rsid w:val="00F551AE"/>
    <w:rsid w:val="00F55699"/>
    <w:rsid w:val="00F55CDB"/>
    <w:rsid w:val="00F60155"/>
    <w:rsid w:val="00F625ED"/>
    <w:rsid w:val="00F641D4"/>
    <w:rsid w:val="00F65FA5"/>
    <w:rsid w:val="00F7011F"/>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2DB9"/>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6190</Words>
  <Characters>35287</Characters>
  <Application>Microsoft Office Word</Application>
  <DocSecurity>0</DocSecurity>
  <Lines>294</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41395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2017-11-03T15:20:00Z</dcterms:modified>
</cp:coreProperties>
</file>