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10" w:rsidRDefault="00445410" w:rsidP="00445410">
      <w:pPr>
        <w:ind w:right="-1"/>
        <w:jc w:val="center"/>
        <w:rPr>
          <w:sz w:val="22"/>
          <w:szCs w:val="22"/>
        </w:rPr>
      </w:pPr>
      <w:r w:rsidRPr="007C1CC5">
        <w:rPr>
          <w:sz w:val="22"/>
          <w:szCs w:val="22"/>
        </w:rPr>
        <w:t>INPS</w:t>
      </w:r>
    </w:p>
    <w:p w:rsidR="00EB35F2" w:rsidRPr="007C1CC5" w:rsidRDefault="00EB35F2" w:rsidP="00445410">
      <w:pPr>
        <w:ind w:right="-1"/>
        <w:jc w:val="center"/>
        <w:rPr>
          <w:sz w:val="22"/>
          <w:szCs w:val="22"/>
        </w:rPr>
      </w:pPr>
    </w:p>
    <w:p w:rsidR="00445410" w:rsidRPr="007C1CC5" w:rsidRDefault="00445410" w:rsidP="00445410">
      <w:pPr>
        <w:ind w:right="-1"/>
        <w:jc w:val="center"/>
        <w:rPr>
          <w:sz w:val="22"/>
          <w:szCs w:val="22"/>
        </w:rPr>
      </w:pPr>
      <w:r w:rsidRPr="007C1CC5">
        <w:rPr>
          <w:sz w:val="22"/>
          <w:szCs w:val="22"/>
        </w:rPr>
        <w:t xml:space="preserve">DIREZIONE CENTRALE </w:t>
      </w:r>
      <w:r w:rsidR="00EB35F2">
        <w:rPr>
          <w:sz w:val="22"/>
          <w:szCs w:val="22"/>
        </w:rPr>
        <w:t>ACQUISTI E APPALTI</w:t>
      </w:r>
    </w:p>
    <w:p w:rsidR="00445410" w:rsidRPr="007C1CC5" w:rsidRDefault="00445410" w:rsidP="00445410">
      <w:pPr>
        <w:ind w:right="-1"/>
        <w:jc w:val="center"/>
        <w:rPr>
          <w:sz w:val="22"/>
          <w:szCs w:val="22"/>
        </w:rPr>
      </w:pPr>
    </w:p>
    <w:p w:rsidR="00445410" w:rsidRPr="007C1CC5" w:rsidRDefault="00445410" w:rsidP="00445410">
      <w:pPr>
        <w:ind w:right="-1"/>
        <w:jc w:val="center"/>
        <w:rPr>
          <w:bCs/>
          <w:sz w:val="22"/>
          <w:szCs w:val="22"/>
        </w:rPr>
      </w:pPr>
      <w:r w:rsidRPr="007C1CC5">
        <w:rPr>
          <w:bCs/>
          <w:sz w:val="22"/>
          <w:szCs w:val="22"/>
        </w:rPr>
        <w:t xml:space="preserve">DETERMINAZIONE N. RS 30/ </w:t>
      </w:r>
      <w:r w:rsidR="00670261">
        <w:rPr>
          <w:bCs/>
          <w:sz w:val="22"/>
          <w:szCs w:val="22"/>
        </w:rPr>
        <w:t>033</w:t>
      </w:r>
      <w:r w:rsidRPr="007C1CC5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201</w:t>
      </w:r>
      <w:r w:rsidR="002E7BBD">
        <w:rPr>
          <w:bCs/>
          <w:sz w:val="22"/>
          <w:szCs w:val="22"/>
        </w:rPr>
        <w:t>9</w:t>
      </w:r>
      <w:r w:rsidRPr="007C1CC5">
        <w:rPr>
          <w:bCs/>
          <w:sz w:val="22"/>
          <w:szCs w:val="22"/>
        </w:rPr>
        <w:t xml:space="preserve"> del </w:t>
      </w:r>
      <w:r w:rsidR="00670261">
        <w:rPr>
          <w:bCs/>
          <w:sz w:val="22"/>
          <w:szCs w:val="22"/>
        </w:rPr>
        <w:t>24/01/2019</w:t>
      </w:r>
      <w:bookmarkStart w:id="0" w:name="_GoBack"/>
      <w:bookmarkEnd w:id="0"/>
    </w:p>
    <w:p w:rsidR="00445410" w:rsidRDefault="00445410" w:rsidP="00445410">
      <w:pPr>
        <w:ind w:right="-1"/>
        <w:jc w:val="center"/>
        <w:rPr>
          <w:sz w:val="22"/>
          <w:szCs w:val="22"/>
        </w:rPr>
      </w:pPr>
    </w:p>
    <w:p w:rsidR="00EB35F2" w:rsidRDefault="00EB35F2" w:rsidP="00445410">
      <w:pPr>
        <w:ind w:right="-1"/>
        <w:jc w:val="center"/>
        <w:rPr>
          <w:sz w:val="22"/>
          <w:szCs w:val="22"/>
        </w:rPr>
      </w:pPr>
    </w:p>
    <w:p w:rsidR="00EB35F2" w:rsidRPr="007C1CC5" w:rsidRDefault="00EB35F2" w:rsidP="00445410">
      <w:pPr>
        <w:ind w:right="-1"/>
        <w:jc w:val="center"/>
        <w:rPr>
          <w:sz w:val="22"/>
          <w:szCs w:val="22"/>
        </w:rPr>
      </w:pPr>
    </w:p>
    <w:p w:rsidR="00EB35F2" w:rsidRPr="00B25853" w:rsidRDefault="00EB35F2" w:rsidP="006D4751">
      <w:pPr>
        <w:spacing w:after="120" w:line="240" w:lineRule="auto"/>
        <w:ind w:left="1418" w:hanging="1418"/>
        <w:jc w:val="both"/>
        <w:rPr>
          <w:sz w:val="22"/>
          <w:szCs w:val="22"/>
        </w:rPr>
      </w:pPr>
      <w:r w:rsidRPr="00B25853">
        <w:rPr>
          <w:sz w:val="22"/>
          <w:szCs w:val="22"/>
        </w:rPr>
        <w:t>OGGETTO: Procedura aperta ai sensi dell’art. 60 del D.Lgs. 50/2016 per l’affidamento del “Servizio di manutenzione cura e coltura delle alberature, piante in vaso, campi sportivi, parco giochi e delle aree verdi di pertinenza del Convitto “Principe di Piemonte” di Anagni (FR)”, ai sensi dell’art. 95, comma 2 del D. Lgs. n.50/2016.</w:t>
      </w:r>
    </w:p>
    <w:p w:rsidR="00EB35F2" w:rsidRDefault="00EB35F2" w:rsidP="006D4751">
      <w:pPr>
        <w:spacing w:after="12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5410" w:rsidRPr="00445410">
        <w:rPr>
          <w:sz w:val="22"/>
          <w:szCs w:val="22"/>
        </w:rPr>
        <w:t>CIG 759165825E.</w:t>
      </w:r>
      <w:r w:rsidR="00445410">
        <w:rPr>
          <w:sz w:val="22"/>
          <w:szCs w:val="22"/>
        </w:rPr>
        <w:t xml:space="preserve"> </w:t>
      </w:r>
    </w:p>
    <w:p w:rsidR="00445410" w:rsidRPr="00445410" w:rsidRDefault="008161AC" w:rsidP="006D4751">
      <w:pPr>
        <w:spacing w:after="120" w:line="240" w:lineRule="auto"/>
        <w:ind w:left="708" w:right="-1" w:firstLine="708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A</w:t>
      </w:r>
      <w:r w:rsidRPr="00445410">
        <w:rPr>
          <w:sz w:val="22"/>
          <w:szCs w:val="22"/>
        </w:rPr>
        <w:t>ggiudicazione.</w:t>
      </w:r>
    </w:p>
    <w:p w:rsidR="00445410" w:rsidRDefault="00445410" w:rsidP="006D4751">
      <w:pPr>
        <w:spacing w:after="120" w:line="240" w:lineRule="auto"/>
        <w:jc w:val="both"/>
        <w:rPr>
          <w:sz w:val="22"/>
          <w:szCs w:val="22"/>
        </w:rPr>
      </w:pPr>
    </w:p>
    <w:p w:rsidR="00EB35F2" w:rsidRPr="007C1CC5" w:rsidRDefault="00EB35F2" w:rsidP="006D4751">
      <w:pPr>
        <w:spacing w:after="120" w:line="240" w:lineRule="auto"/>
        <w:jc w:val="both"/>
        <w:rPr>
          <w:sz w:val="22"/>
          <w:szCs w:val="22"/>
        </w:rPr>
      </w:pPr>
    </w:p>
    <w:p w:rsidR="00445410" w:rsidRPr="007C1CC5" w:rsidRDefault="00445410" w:rsidP="006D4751">
      <w:pPr>
        <w:spacing w:line="240" w:lineRule="auto"/>
        <w:ind w:right="-1"/>
        <w:jc w:val="center"/>
        <w:rPr>
          <w:sz w:val="22"/>
          <w:szCs w:val="22"/>
        </w:rPr>
      </w:pPr>
      <w:r w:rsidRPr="007C1CC5">
        <w:rPr>
          <w:sz w:val="22"/>
          <w:szCs w:val="22"/>
        </w:rPr>
        <w:t>IL DIRETTORE CENTRALE</w:t>
      </w:r>
    </w:p>
    <w:p w:rsidR="00445410" w:rsidRDefault="00445410" w:rsidP="006D4751">
      <w:pPr>
        <w:spacing w:line="240" w:lineRule="auto"/>
        <w:ind w:right="-1"/>
        <w:jc w:val="both"/>
        <w:rPr>
          <w:sz w:val="22"/>
          <w:szCs w:val="22"/>
        </w:rPr>
      </w:pPr>
    </w:p>
    <w:p w:rsidR="00445410" w:rsidRPr="007C1CC5" w:rsidRDefault="00445410" w:rsidP="006D4751">
      <w:pPr>
        <w:spacing w:line="240" w:lineRule="auto"/>
        <w:ind w:right="-1"/>
        <w:jc w:val="both"/>
        <w:rPr>
          <w:sz w:val="22"/>
          <w:szCs w:val="22"/>
        </w:rPr>
      </w:pPr>
    </w:p>
    <w:p w:rsidR="00EB35F2" w:rsidRPr="00317438" w:rsidRDefault="00EB35F2" w:rsidP="006D4751">
      <w:pPr>
        <w:widowControl w:val="0"/>
        <w:spacing w:after="120" w:line="240" w:lineRule="auto"/>
        <w:ind w:left="1418" w:hanging="1418"/>
        <w:jc w:val="both"/>
        <w:rPr>
          <w:sz w:val="22"/>
          <w:szCs w:val="22"/>
        </w:rPr>
      </w:pPr>
      <w:r w:rsidRPr="00317438">
        <w:rPr>
          <w:b/>
          <w:sz w:val="22"/>
          <w:szCs w:val="22"/>
        </w:rPr>
        <w:t xml:space="preserve">VISTO </w:t>
      </w:r>
      <w:r>
        <w:rPr>
          <w:b/>
          <w:sz w:val="22"/>
          <w:szCs w:val="22"/>
        </w:rPr>
        <w:tab/>
      </w:r>
      <w:r w:rsidRPr="00317438">
        <w:rPr>
          <w:sz w:val="22"/>
          <w:szCs w:val="22"/>
        </w:rPr>
        <w:t>il Decreto Legislativo 18 aprile 2016, n. 50, recante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forniture”, pubblicato sulla Gazzetta Ufficiale della Repubblica Italiana n. 91, Supplemento ordinario n. 10/L;</w:t>
      </w:r>
    </w:p>
    <w:p w:rsidR="00EB35F2" w:rsidRPr="00317438" w:rsidRDefault="00EB35F2" w:rsidP="006D4751">
      <w:pPr>
        <w:widowControl w:val="0"/>
        <w:spacing w:before="240" w:after="120" w:line="240" w:lineRule="auto"/>
        <w:ind w:left="1418" w:hanging="1418"/>
        <w:jc w:val="both"/>
        <w:rPr>
          <w:sz w:val="22"/>
          <w:szCs w:val="22"/>
        </w:rPr>
      </w:pPr>
      <w:r w:rsidRPr="00317438">
        <w:rPr>
          <w:b/>
          <w:sz w:val="22"/>
          <w:szCs w:val="22"/>
        </w:rPr>
        <w:t>VISTO</w:t>
      </w:r>
      <w:r w:rsidRPr="003174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17438">
        <w:rPr>
          <w:sz w:val="22"/>
          <w:szCs w:val="22"/>
        </w:rPr>
        <w:t>il Decreto Legislativo 19 aprile 2017, recante “Disposizioni integrative e correttive al decreto legislativo 18 aprile 2016, n.50” pubblicato nella Gazzetta Ufficiale, serie generale, n.130, in data 5 maggio 2017;</w:t>
      </w:r>
    </w:p>
    <w:p w:rsidR="00EB35F2" w:rsidRPr="00317438" w:rsidRDefault="00EB35F2" w:rsidP="006D4751">
      <w:pPr>
        <w:spacing w:before="240" w:after="120" w:line="240" w:lineRule="auto"/>
        <w:ind w:left="1418" w:hanging="1418"/>
        <w:jc w:val="both"/>
        <w:rPr>
          <w:sz w:val="22"/>
          <w:szCs w:val="22"/>
        </w:rPr>
      </w:pPr>
      <w:r w:rsidRPr="00317438">
        <w:rPr>
          <w:b/>
          <w:sz w:val="22"/>
          <w:szCs w:val="22"/>
        </w:rPr>
        <w:t>VISTO</w:t>
      </w:r>
      <w:r w:rsidRPr="003174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17438">
        <w:rPr>
          <w:sz w:val="22"/>
          <w:szCs w:val="22"/>
        </w:rPr>
        <w:t xml:space="preserve">il Regolamento di organizzazione dell’INPS approvato, con determinazioni presidenziali n. 89 del 30 giugno 2016, n.100 del 27 luglio 2016, n.132 del 12 ottobre 2016 e n.125 del 26 luglio 2017; </w:t>
      </w:r>
    </w:p>
    <w:p w:rsidR="00EB35F2" w:rsidRPr="00317438" w:rsidRDefault="00EB35F2" w:rsidP="006D4751">
      <w:pPr>
        <w:spacing w:before="240" w:after="120" w:line="240" w:lineRule="auto"/>
        <w:ind w:left="1418" w:hanging="1418"/>
        <w:jc w:val="both"/>
        <w:rPr>
          <w:sz w:val="22"/>
          <w:szCs w:val="22"/>
        </w:rPr>
      </w:pPr>
      <w:r w:rsidRPr="00317438">
        <w:rPr>
          <w:b/>
          <w:sz w:val="22"/>
          <w:szCs w:val="22"/>
        </w:rPr>
        <w:t>VISTO</w:t>
      </w:r>
      <w:r w:rsidRPr="003174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17438">
        <w:rPr>
          <w:sz w:val="22"/>
          <w:szCs w:val="22"/>
        </w:rPr>
        <w:t xml:space="preserve">l’Ordinamento delle funzioni centrali e territoriali dell’INPS, approvato con la determinazione presidenziale n. 110 del 28 luglio 2016 come modificato con le determinazioni presidenziali n. 13 del 24 gennaio 2017, n.118 dell’11 luglio 2017 e n.125 del 26 luglio 2017; </w:t>
      </w:r>
    </w:p>
    <w:p w:rsidR="00EB35F2" w:rsidRPr="00317438" w:rsidRDefault="00EB35F2" w:rsidP="006D4751">
      <w:pPr>
        <w:spacing w:before="240" w:after="120" w:line="240" w:lineRule="auto"/>
        <w:ind w:left="1418" w:hanging="1418"/>
        <w:jc w:val="both"/>
        <w:rPr>
          <w:sz w:val="22"/>
          <w:szCs w:val="22"/>
        </w:rPr>
      </w:pPr>
      <w:r w:rsidRPr="00317438">
        <w:rPr>
          <w:b/>
          <w:sz w:val="22"/>
          <w:szCs w:val="22"/>
        </w:rPr>
        <w:t>VISTA</w:t>
      </w:r>
      <w:r>
        <w:rPr>
          <w:b/>
          <w:sz w:val="22"/>
          <w:szCs w:val="22"/>
        </w:rPr>
        <w:tab/>
      </w:r>
      <w:r w:rsidRPr="00317438">
        <w:rPr>
          <w:sz w:val="22"/>
          <w:szCs w:val="22"/>
        </w:rPr>
        <w:t>la determinazione presidenziale n. 176 del 6 dicembre 2017 di aggiornamento del modello organizzativo delle Direzioni regionali e delle Direzioni di coordinamento metropolitano;</w:t>
      </w:r>
    </w:p>
    <w:p w:rsidR="00EB35F2" w:rsidRPr="00317438" w:rsidRDefault="00EB35F2" w:rsidP="006D4751">
      <w:pPr>
        <w:suppressAutoHyphens/>
        <w:spacing w:after="120" w:line="240" w:lineRule="auto"/>
        <w:ind w:left="1418" w:hanging="1418"/>
        <w:jc w:val="both"/>
        <w:rPr>
          <w:sz w:val="22"/>
          <w:szCs w:val="22"/>
        </w:rPr>
      </w:pPr>
      <w:r w:rsidRPr="00317438">
        <w:rPr>
          <w:b/>
          <w:sz w:val="22"/>
          <w:szCs w:val="22"/>
        </w:rPr>
        <w:t xml:space="preserve">VISTO </w:t>
      </w:r>
      <w:r>
        <w:rPr>
          <w:b/>
          <w:sz w:val="22"/>
          <w:szCs w:val="22"/>
        </w:rPr>
        <w:tab/>
      </w:r>
      <w:r w:rsidRPr="00317438">
        <w:rPr>
          <w:sz w:val="22"/>
          <w:szCs w:val="22"/>
        </w:rPr>
        <w:t>il Regolamento di Amministrazione e Contabilità, dell’Istituto Nazionale della Previdenza Sociale, approvato con delibera del Consiglio di Amministrazione n. 172 del 18 maggio 2005;</w:t>
      </w:r>
    </w:p>
    <w:p w:rsidR="00EB35F2" w:rsidRPr="00317438" w:rsidRDefault="00EB35F2" w:rsidP="006D4751">
      <w:pPr>
        <w:spacing w:after="120" w:line="240" w:lineRule="auto"/>
        <w:ind w:left="1418" w:hanging="1418"/>
        <w:jc w:val="both"/>
        <w:rPr>
          <w:sz w:val="22"/>
          <w:szCs w:val="22"/>
        </w:rPr>
      </w:pPr>
      <w:r w:rsidRPr="00317438">
        <w:rPr>
          <w:b/>
          <w:sz w:val="22"/>
          <w:szCs w:val="22"/>
        </w:rPr>
        <w:lastRenderedPageBreak/>
        <w:t>VISTO</w:t>
      </w:r>
      <w:r w:rsidRPr="003174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17438">
        <w:rPr>
          <w:sz w:val="22"/>
          <w:szCs w:val="22"/>
        </w:rPr>
        <w:t>il Decreto del Ministro del lavoro e delle politiche sociali, adottato, di concerto con il Ministro dell’economia e delle finanze il 16 febbraio 2015, con il quale il Prof. Tito Boeri è stato nominato, Presidente dell’Istituto nazionale della previdenza sociale (INPS), per la durata di un quadriennio;</w:t>
      </w:r>
    </w:p>
    <w:p w:rsidR="00EB35F2" w:rsidRPr="00317438" w:rsidRDefault="00EB35F2" w:rsidP="006D4751">
      <w:pPr>
        <w:spacing w:after="120" w:line="240" w:lineRule="auto"/>
        <w:ind w:left="1418" w:hanging="1418"/>
        <w:jc w:val="both"/>
        <w:rPr>
          <w:sz w:val="22"/>
          <w:szCs w:val="22"/>
        </w:rPr>
      </w:pPr>
      <w:r w:rsidRPr="00317438">
        <w:rPr>
          <w:b/>
          <w:sz w:val="22"/>
          <w:szCs w:val="22"/>
        </w:rPr>
        <w:t>VISTO</w:t>
      </w:r>
      <w:r w:rsidRPr="003174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17438">
        <w:rPr>
          <w:sz w:val="22"/>
          <w:szCs w:val="22"/>
        </w:rPr>
        <w:t>il Decreto del Ministro del lavoro e delle politiche sociali del 13 gennaio 2017, con il quale, su proposta del Presidente dell’Istituto, è stata nominata Direttore Generale dell’INPS la Dott.ssa Gabriella Di Michele, già dirigente di 1^ fascia, di ruolo del medesimo ente;</w:t>
      </w:r>
    </w:p>
    <w:p w:rsidR="00EB35F2" w:rsidRPr="00317438" w:rsidRDefault="00EB35F2" w:rsidP="006D4751">
      <w:pPr>
        <w:spacing w:after="120" w:line="240" w:lineRule="auto"/>
        <w:ind w:left="1418" w:hanging="1418"/>
        <w:jc w:val="both"/>
        <w:rPr>
          <w:sz w:val="22"/>
          <w:szCs w:val="22"/>
        </w:rPr>
      </w:pPr>
      <w:r w:rsidRPr="00317438">
        <w:rPr>
          <w:b/>
          <w:sz w:val="22"/>
          <w:szCs w:val="22"/>
        </w:rPr>
        <w:t>VISTA</w:t>
      </w:r>
      <w:r w:rsidRPr="003174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17438">
        <w:rPr>
          <w:sz w:val="22"/>
          <w:szCs w:val="22"/>
        </w:rPr>
        <w:t>la determinazione presidenziale n. 15 del 24 gennaio 2017 di conferimento allo scrivente dell’incarico di durata quadriennale di Direttore Centrale Acquisti e Appalti con decorrenza 1 febbraio 2017;</w:t>
      </w:r>
    </w:p>
    <w:p w:rsidR="00445410" w:rsidRPr="00B3415F" w:rsidRDefault="00445410" w:rsidP="006D4751">
      <w:pPr>
        <w:spacing w:after="160" w:line="240" w:lineRule="auto"/>
        <w:ind w:left="1418" w:hanging="1418"/>
        <w:jc w:val="both"/>
        <w:rPr>
          <w:rFonts w:eastAsia="Calibri" w:cs="Calibri"/>
          <w:color w:val="000000"/>
          <w:spacing w:val="-3"/>
          <w:sz w:val="22"/>
          <w:szCs w:val="22"/>
          <w:lang w:eastAsia="en-US"/>
        </w:rPr>
      </w:pPr>
      <w:r w:rsidRPr="00445410">
        <w:rPr>
          <w:rFonts w:eastAsia="Calibri" w:cs="Calibri"/>
          <w:b/>
          <w:color w:val="000000"/>
          <w:spacing w:val="-3"/>
          <w:sz w:val="22"/>
          <w:szCs w:val="22"/>
          <w:lang w:eastAsia="en-US"/>
        </w:rPr>
        <w:t>VISTA</w:t>
      </w:r>
      <w:r w:rsidR="00EB35F2">
        <w:rPr>
          <w:rFonts w:eastAsia="Calibri" w:cs="Calibri"/>
          <w:b/>
          <w:color w:val="000000"/>
          <w:spacing w:val="-3"/>
          <w:sz w:val="22"/>
          <w:szCs w:val="22"/>
          <w:lang w:eastAsia="en-US"/>
        </w:rPr>
        <w:tab/>
      </w:r>
      <w:r w:rsidRPr="00B3415F">
        <w:rPr>
          <w:rFonts w:eastAsia="Calibri" w:cs="Calibri"/>
          <w:color w:val="000000"/>
          <w:spacing w:val="-3"/>
          <w:sz w:val="22"/>
          <w:szCs w:val="22"/>
          <w:lang w:eastAsia="en-US"/>
        </w:rPr>
        <w:t>la Deliberazione del Consiglio di Indirizzo e Vigilanza dell’Istituto n. 4 del 13 marzo 2018, con la quale è stato approvato in via definitiva, ai sensi di quanto previsto dall’art. 17, comma 23, della legge 15 maggio 1997, n. 127, il bilancio preventivo finanziario generale di competenza e cassa ed economico patrimoniale generale dell’INPS per l'anno 2018;</w:t>
      </w:r>
    </w:p>
    <w:p w:rsidR="00EB35F2" w:rsidRDefault="00EB35F2" w:rsidP="006D4751">
      <w:pPr>
        <w:spacing w:after="160" w:line="240" w:lineRule="auto"/>
        <w:ind w:left="1418" w:hanging="1418"/>
        <w:jc w:val="both"/>
        <w:rPr>
          <w:rFonts w:eastAsia="Calibri" w:cs="Calibri"/>
          <w:b/>
          <w:bCs/>
          <w:sz w:val="22"/>
          <w:szCs w:val="22"/>
          <w:lang w:eastAsia="en-US"/>
        </w:rPr>
      </w:pPr>
      <w:r w:rsidRPr="006A1523">
        <w:rPr>
          <w:rFonts w:eastAsia="Calibri" w:cs="Verdana"/>
          <w:b/>
          <w:sz w:val="22"/>
          <w:lang w:eastAsia="en-US"/>
        </w:rPr>
        <w:t>PRESO ATTO</w:t>
      </w:r>
      <w:r w:rsidRPr="006A1523">
        <w:rPr>
          <w:rFonts w:eastAsia="Calibri" w:cs="Verdana"/>
          <w:sz w:val="22"/>
          <w:lang w:eastAsia="en-US"/>
        </w:rPr>
        <w:t xml:space="preserve"> che il Consiglio di Indirizzo e Vigilanza, con deliberazione n. 15 del 4 settembre 2018 ha approvato in via definitiva, ai sensi dell’articolo 17, comma 23, della legge 15 maggio 1997, n. 127, l’assestamento al bilancio preventivo finanziario generale – di competenza e di cassa - per l'anno 2018;</w:t>
      </w:r>
    </w:p>
    <w:p w:rsidR="00445410" w:rsidRPr="00B3415F" w:rsidRDefault="00445410" w:rsidP="006D4751">
      <w:pPr>
        <w:spacing w:after="120" w:line="240" w:lineRule="auto"/>
        <w:ind w:left="1418" w:hanging="1418"/>
        <w:jc w:val="both"/>
        <w:rPr>
          <w:rFonts w:eastAsia="Calibri" w:cs="Calibri"/>
          <w:color w:val="000000"/>
          <w:spacing w:val="-3"/>
          <w:sz w:val="22"/>
          <w:szCs w:val="22"/>
          <w:lang w:eastAsia="en-US"/>
        </w:rPr>
      </w:pPr>
      <w:r w:rsidRPr="00B3415F">
        <w:rPr>
          <w:rFonts w:eastAsia="Calibri" w:cs="Calibri"/>
          <w:b/>
          <w:bCs/>
          <w:sz w:val="22"/>
          <w:szCs w:val="22"/>
          <w:lang w:eastAsia="en-US"/>
        </w:rPr>
        <w:t>VISTA</w:t>
      </w:r>
      <w:r w:rsidRPr="00B3415F">
        <w:rPr>
          <w:rFonts w:eastAsia="Calibri" w:cs="Calibri"/>
          <w:b/>
          <w:bCs/>
          <w:sz w:val="22"/>
          <w:szCs w:val="22"/>
          <w:lang w:eastAsia="en-US"/>
        </w:rPr>
        <w:tab/>
      </w:r>
      <w:r w:rsidRPr="00B3415F">
        <w:rPr>
          <w:rFonts w:eastAsia="Calibri" w:cs="Calibri"/>
          <w:color w:val="000000"/>
          <w:spacing w:val="-3"/>
          <w:sz w:val="22"/>
          <w:szCs w:val="22"/>
          <w:lang w:eastAsia="en-US"/>
        </w:rPr>
        <w:t xml:space="preserve">la Deliberazione del Consiglio di Indirizzo e Vigilanza dell’Istituto n. 19 del 26 novembre 2018, con cui è stata approvata la seconda nota di variazione al citato bilancio preventivo dell’INPS per l'anno 2018; </w:t>
      </w:r>
    </w:p>
    <w:p w:rsidR="00445410" w:rsidRDefault="00445410" w:rsidP="006D4751">
      <w:pPr>
        <w:spacing w:after="120" w:line="240" w:lineRule="auto"/>
        <w:ind w:left="1418" w:hanging="1418"/>
        <w:jc w:val="both"/>
        <w:rPr>
          <w:rFonts w:eastAsia="Calibri" w:cs="Arial"/>
          <w:sz w:val="22"/>
          <w:szCs w:val="22"/>
          <w:lang w:eastAsia="en-US"/>
        </w:rPr>
      </w:pPr>
      <w:r w:rsidRPr="00B3415F">
        <w:rPr>
          <w:rFonts w:eastAsia="Calibri" w:cs="Arial"/>
          <w:b/>
          <w:sz w:val="22"/>
          <w:szCs w:val="22"/>
          <w:lang w:eastAsia="en-US"/>
        </w:rPr>
        <w:t>VISTA</w:t>
      </w:r>
      <w:r w:rsidRPr="00B3415F">
        <w:rPr>
          <w:rFonts w:eastAsia="Calibri" w:cs="Arial"/>
          <w:b/>
          <w:sz w:val="22"/>
          <w:szCs w:val="22"/>
          <w:lang w:eastAsia="en-US"/>
        </w:rPr>
        <w:tab/>
      </w:r>
      <w:r w:rsidRPr="00B3415F">
        <w:rPr>
          <w:rFonts w:eastAsia="Calibri" w:cs="Arial"/>
          <w:sz w:val="22"/>
          <w:szCs w:val="22"/>
          <w:lang w:eastAsia="en-US"/>
        </w:rPr>
        <w:t>la determinazione presidenziale n. 154 del 3 dicembre 2018 con la quale il Presidente dell’INPS ha deliberato il progetto di bilancio preventivo 2019;</w:t>
      </w:r>
    </w:p>
    <w:p w:rsidR="00445410" w:rsidRDefault="00445410" w:rsidP="006D4751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eastAsia="Calibri" w:cs="Verdana"/>
          <w:sz w:val="22"/>
          <w:lang w:eastAsia="en-US"/>
        </w:rPr>
      </w:pPr>
      <w:r w:rsidRPr="00A05B05">
        <w:rPr>
          <w:rFonts w:eastAsia="Calibri" w:cs="Verdana"/>
          <w:b/>
          <w:sz w:val="22"/>
          <w:lang w:eastAsia="en-US"/>
        </w:rPr>
        <w:t>PRESO ATTO</w:t>
      </w:r>
      <w:r>
        <w:rPr>
          <w:rFonts w:eastAsia="Calibri" w:cs="Verdana"/>
          <w:sz w:val="22"/>
          <w:lang w:eastAsia="en-US"/>
        </w:rPr>
        <w:t xml:space="preserve"> che </w:t>
      </w:r>
      <w:r w:rsidRPr="00FF763E">
        <w:rPr>
          <w:rFonts w:eastAsia="Calibri" w:cs="Verdana"/>
          <w:sz w:val="22"/>
          <w:lang w:eastAsia="en-US"/>
        </w:rPr>
        <w:t>il Consiglio di Indirizzo e Vigilanza</w:t>
      </w:r>
      <w:r>
        <w:rPr>
          <w:rFonts w:eastAsia="Calibri" w:cs="Verdana"/>
          <w:sz w:val="22"/>
          <w:lang w:eastAsia="en-US"/>
        </w:rPr>
        <w:t xml:space="preserve">, con </w:t>
      </w:r>
      <w:r w:rsidRPr="00FF763E">
        <w:rPr>
          <w:rFonts w:eastAsia="Calibri" w:cs="Verdana"/>
          <w:sz w:val="22"/>
          <w:lang w:eastAsia="en-US"/>
        </w:rPr>
        <w:t>deliberazione n. 21 del 28 dicembre 2018 ha autorizzato,</w:t>
      </w:r>
      <w:r>
        <w:rPr>
          <w:rFonts w:eastAsia="Calibri" w:cs="Verdana"/>
          <w:sz w:val="22"/>
          <w:lang w:eastAsia="en-US"/>
        </w:rPr>
        <w:t xml:space="preserve"> </w:t>
      </w:r>
      <w:r w:rsidRPr="00FF763E">
        <w:rPr>
          <w:rFonts w:eastAsia="Calibri" w:cs="Verdana"/>
          <w:sz w:val="22"/>
          <w:lang w:eastAsia="en-US"/>
        </w:rPr>
        <w:t>ai sensi</w:t>
      </w:r>
      <w:r>
        <w:rPr>
          <w:rFonts w:eastAsia="Calibri" w:cs="Verdana"/>
          <w:sz w:val="22"/>
          <w:lang w:eastAsia="en-US"/>
        </w:rPr>
        <w:t xml:space="preserve"> dell’articolo 22, comma 1, del </w:t>
      </w:r>
      <w:r w:rsidRPr="00FF763E">
        <w:rPr>
          <w:rFonts w:eastAsia="Calibri" w:cs="Verdana"/>
          <w:sz w:val="22"/>
          <w:lang w:eastAsia="en-US"/>
        </w:rPr>
        <w:t>"Regolamento per l'amministrazione e la contabilità dell'INPS",</w:t>
      </w:r>
      <w:r>
        <w:rPr>
          <w:rFonts w:eastAsia="Calibri" w:cs="Verdana"/>
          <w:sz w:val="22"/>
          <w:lang w:eastAsia="en-US"/>
        </w:rPr>
        <w:t xml:space="preserve"> </w:t>
      </w:r>
      <w:r w:rsidRPr="00FF763E">
        <w:rPr>
          <w:rFonts w:eastAsia="Calibri" w:cs="Verdana"/>
          <w:sz w:val="22"/>
          <w:lang w:eastAsia="en-US"/>
        </w:rPr>
        <w:t>approvato con deliberazione del Consiglio di amministrazione n. 172 del 18 maggio 2005, l'esercizio</w:t>
      </w:r>
      <w:r>
        <w:rPr>
          <w:rFonts w:eastAsia="Calibri" w:cs="Verdana"/>
          <w:sz w:val="22"/>
          <w:lang w:eastAsia="en-US"/>
        </w:rPr>
        <w:t xml:space="preserve"> </w:t>
      </w:r>
      <w:r w:rsidRPr="00FF763E">
        <w:rPr>
          <w:rFonts w:eastAsia="Calibri" w:cs="Verdana"/>
          <w:sz w:val="22"/>
          <w:lang w:eastAsia="en-US"/>
        </w:rPr>
        <w:t>provvisorio dal 1 gennaio al 31 gennaio 2019, consentendo, per le spese non obbligatorie per legge o per</w:t>
      </w:r>
      <w:r>
        <w:rPr>
          <w:rFonts w:eastAsia="Calibri" w:cs="Verdana"/>
          <w:sz w:val="22"/>
          <w:lang w:eastAsia="en-US"/>
        </w:rPr>
        <w:t xml:space="preserve"> </w:t>
      </w:r>
      <w:r w:rsidRPr="00FF763E">
        <w:rPr>
          <w:rFonts w:eastAsia="Calibri" w:cs="Verdana"/>
          <w:sz w:val="22"/>
          <w:lang w:eastAsia="en-US"/>
        </w:rPr>
        <w:t>regolamento, l'assunzione degli impegni nei limiti di un dodicesimo per ogni mese degli stanziamenti iscritti nel</w:t>
      </w:r>
      <w:r>
        <w:rPr>
          <w:rFonts w:eastAsia="Calibri" w:cs="Verdana"/>
          <w:sz w:val="22"/>
          <w:lang w:eastAsia="en-US"/>
        </w:rPr>
        <w:t xml:space="preserve"> </w:t>
      </w:r>
      <w:r w:rsidRPr="00FF763E">
        <w:rPr>
          <w:rFonts w:eastAsia="Calibri" w:cs="Verdana"/>
          <w:sz w:val="22"/>
          <w:lang w:eastAsia="en-US"/>
        </w:rPr>
        <w:t>Progetto di bilancio di Previsione per l’esercizio 2019, ovvero nei limiti della maggiore spesa necessaria, ove si</w:t>
      </w:r>
      <w:r>
        <w:rPr>
          <w:rFonts w:eastAsia="Calibri" w:cs="Verdana"/>
          <w:sz w:val="22"/>
          <w:lang w:eastAsia="en-US"/>
        </w:rPr>
        <w:t xml:space="preserve"> </w:t>
      </w:r>
      <w:r w:rsidRPr="00FF763E">
        <w:rPr>
          <w:rFonts w:eastAsia="Calibri" w:cs="Verdana"/>
          <w:sz w:val="22"/>
          <w:lang w:eastAsia="en-US"/>
        </w:rPr>
        <w:t>tratti di spese non</w:t>
      </w:r>
      <w:r>
        <w:rPr>
          <w:rFonts w:eastAsia="Calibri" w:cs="Verdana"/>
          <w:sz w:val="22"/>
          <w:lang w:eastAsia="en-US"/>
        </w:rPr>
        <w:t xml:space="preserve"> frazionabili e non differibili;</w:t>
      </w:r>
    </w:p>
    <w:p w:rsidR="00445410" w:rsidRPr="00AC3842" w:rsidRDefault="00445410" w:rsidP="006D4751">
      <w:pPr>
        <w:spacing w:after="120" w:line="240" w:lineRule="auto"/>
        <w:ind w:left="1418" w:hanging="1418"/>
        <w:jc w:val="both"/>
        <w:rPr>
          <w:bCs/>
          <w:sz w:val="22"/>
          <w:szCs w:val="22"/>
        </w:rPr>
      </w:pPr>
      <w:r w:rsidRPr="007C1CC5">
        <w:rPr>
          <w:rFonts w:eastAsia="Times New Roman"/>
          <w:b/>
          <w:bCs/>
          <w:sz w:val="22"/>
          <w:szCs w:val="22"/>
        </w:rPr>
        <w:t>PRESO ATTO</w:t>
      </w:r>
      <w:r w:rsidRPr="007C1CC5">
        <w:rPr>
          <w:rFonts w:eastAsia="Times New Roman"/>
          <w:bCs/>
          <w:sz w:val="22"/>
          <w:szCs w:val="22"/>
        </w:rPr>
        <w:t xml:space="preserve"> che </w:t>
      </w:r>
      <w:r>
        <w:rPr>
          <w:bCs/>
          <w:sz w:val="22"/>
          <w:szCs w:val="22"/>
        </w:rPr>
        <w:t>c</w:t>
      </w:r>
      <w:r w:rsidRPr="0003574B">
        <w:rPr>
          <w:bCs/>
          <w:sz w:val="22"/>
          <w:szCs w:val="22"/>
        </w:rPr>
        <w:t>on Determinazione</w:t>
      </w:r>
      <w:r>
        <w:rPr>
          <w:bCs/>
          <w:sz w:val="22"/>
          <w:szCs w:val="22"/>
        </w:rPr>
        <w:t xml:space="preserve"> RS30/373/2018 del 3.8.2018 </w:t>
      </w:r>
      <w:r w:rsidRPr="0003574B">
        <w:rPr>
          <w:bCs/>
          <w:sz w:val="22"/>
          <w:szCs w:val="22"/>
        </w:rPr>
        <w:t xml:space="preserve">della </w:t>
      </w:r>
      <w:r>
        <w:rPr>
          <w:bCs/>
          <w:sz w:val="22"/>
          <w:szCs w:val="22"/>
        </w:rPr>
        <w:t xml:space="preserve">Direzione </w:t>
      </w:r>
      <w:r w:rsidR="00EB35F2">
        <w:rPr>
          <w:bCs/>
          <w:sz w:val="22"/>
          <w:szCs w:val="22"/>
        </w:rPr>
        <w:t>C</w:t>
      </w:r>
      <w:r w:rsidRPr="0003574B">
        <w:rPr>
          <w:bCs/>
          <w:sz w:val="22"/>
          <w:szCs w:val="22"/>
        </w:rPr>
        <w:t xml:space="preserve">entrale </w:t>
      </w:r>
      <w:r w:rsidR="00EB35F2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cquisti e </w:t>
      </w:r>
      <w:r w:rsidR="00EB35F2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ppalti</w:t>
      </w:r>
      <w:r w:rsidRPr="0003574B">
        <w:rPr>
          <w:bCs/>
          <w:sz w:val="22"/>
          <w:szCs w:val="22"/>
        </w:rPr>
        <w:t>, è stata autorizzata l’indizione di una</w:t>
      </w:r>
      <w:r>
        <w:rPr>
          <w:bCs/>
          <w:sz w:val="22"/>
          <w:szCs w:val="22"/>
        </w:rPr>
        <w:t xml:space="preserve"> gara</w:t>
      </w:r>
      <w:r w:rsidRPr="0003574B">
        <w:rPr>
          <w:bCs/>
          <w:sz w:val="22"/>
          <w:szCs w:val="22"/>
        </w:rPr>
        <w:t xml:space="preserve"> aperta di carattere comunitario, ai sensi dell’art. </w:t>
      </w:r>
      <w:r>
        <w:rPr>
          <w:bCs/>
          <w:sz w:val="22"/>
          <w:szCs w:val="22"/>
        </w:rPr>
        <w:t>60 d</w:t>
      </w:r>
      <w:r w:rsidR="00196C4F">
        <w:rPr>
          <w:bCs/>
          <w:sz w:val="22"/>
          <w:szCs w:val="22"/>
        </w:rPr>
        <w:t xml:space="preserve">el D.Lgs. n. </w:t>
      </w:r>
      <w:r>
        <w:rPr>
          <w:bCs/>
          <w:sz w:val="22"/>
          <w:szCs w:val="22"/>
        </w:rPr>
        <w:t>50/2016</w:t>
      </w:r>
      <w:r w:rsidRPr="0003574B">
        <w:rPr>
          <w:bCs/>
          <w:sz w:val="22"/>
          <w:szCs w:val="22"/>
        </w:rPr>
        <w:t xml:space="preserve">, volta all’affidamento </w:t>
      </w:r>
      <w:r w:rsidRPr="00445410">
        <w:rPr>
          <w:bCs/>
          <w:sz w:val="22"/>
          <w:szCs w:val="22"/>
        </w:rPr>
        <w:t xml:space="preserve">del </w:t>
      </w:r>
      <w:r w:rsidRPr="0003574B">
        <w:rPr>
          <w:bCs/>
          <w:i/>
          <w:sz w:val="22"/>
          <w:szCs w:val="22"/>
        </w:rPr>
        <w:t>“</w:t>
      </w:r>
      <w:r>
        <w:rPr>
          <w:bCs/>
          <w:i/>
          <w:sz w:val="22"/>
          <w:szCs w:val="22"/>
        </w:rPr>
        <w:t>Servizio di manutenzione cura e coltura delle alberature, piante in vaso, campi sportivi, parco giochi e delle aree verdi di pert</w:t>
      </w:r>
      <w:r w:rsidR="007760B6">
        <w:rPr>
          <w:bCs/>
          <w:i/>
          <w:sz w:val="22"/>
          <w:szCs w:val="22"/>
        </w:rPr>
        <w:t>inenza del C</w:t>
      </w:r>
      <w:r>
        <w:rPr>
          <w:bCs/>
          <w:i/>
          <w:sz w:val="22"/>
          <w:szCs w:val="22"/>
        </w:rPr>
        <w:t xml:space="preserve">onvitto Principe di Piemonte di </w:t>
      </w:r>
      <w:r w:rsidR="007760B6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>nagni (</w:t>
      </w:r>
      <w:r w:rsidR="007760B6">
        <w:rPr>
          <w:bCs/>
          <w:i/>
          <w:sz w:val="22"/>
          <w:szCs w:val="22"/>
        </w:rPr>
        <w:t>FR</w:t>
      </w:r>
      <w:r>
        <w:rPr>
          <w:bCs/>
          <w:i/>
          <w:sz w:val="22"/>
          <w:szCs w:val="22"/>
        </w:rPr>
        <w:t>)”;</w:t>
      </w:r>
    </w:p>
    <w:p w:rsidR="00445410" w:rsidRPr="00AC3842" w:rsidRDefault="00445410" w:rsidP="006D4751">
      <w:pPr>
        <w:spacing w:after="120" w:line="240" w:lineRule="auto"/>
        <w:ind w:left="1418" w:hanging="1418"/>
        <w:jc w:val="both"/>
        <w:rPr>
          <w:bCs/>
          <w:sz w:val="22"/>
          <w:szCs w:val="22"/>
        </w:rPr>
      </w:pPr>
      <w:r w:rsidRPr="007C1CC5">
        <w:rPr>
          <w:rFonts w:eastAsia="Times New Roman"/>
          <w:b/>
          <w:bCs/>
          <w:sz w:val="22"/>
          <w:szCs w:val="22"/>
        </w:rPr>
        <w:lastRenderedPageBreak/>
        <w:t>VISTA</w:t>
      </w:r>
      <w:r w:rsidRPr="007C1CC5">
        <w:rPr>
          <w:rFonts w:eastAsia="Times New Roman"/>
          <w:bCs/>
          <w:sz w:val="22"/>
          <w:szCs w:val="22"/>
        </w:rPr>
        <w:t xml:space="preserve"> </w:t>
      </w:r>
      <w:r w:rsidR="00EB35F2">
        <w:rPr>
          <w:rFonts w:eastAsia="Times New Roman"/>
          <w:bCs/>
          <w:sz w:val="22"/>
          <w:szCs w:val="22"/>
        </w:rPr>
        <w:tab/>
      </w:r>
      <w:r w:rsidRPr="007C1CC5">
        <w:rPr>
          <w:rFonts w:eastAsia="Times New Roman"/>
          <w:bCs/>
          <w:sz w:val="22"/>
          <w:szCs w:val="22"/>
        </w:rPr>
        <w:t>la Determinazione n.</w:t>
      </w:r>
      <w:r w:rsidRPr="0003574B">
        <w:rPr>
          <w:bCs/>
          <w:sz w:val="22"/>
          <w:szCs w:val="22"/>
        </w:rPr>
        <w:t xml:space="preserve"> </w:t>
      </w:r>
      <w:r w:rsidR="007760B6" w:rsidRPr="0062172A">
        <w:rPr>
          <w:rFonts w:cstheme="minorHAnsi"/>
          <w:sz w:val="22"/>
          <w:szCs w:val="22"/>
        </w:rPr>
        <w:t>RS30/</w:t>
      </w:r>
      <w:r w:rsidR="007760B6">
        <w:rPr>
          <w:rFonts w:cstheme="minorHAnsi"/>
          <w:sz w:val="22"/>
          <w:szCs w:val="22"/>
        </w:rPr>
        <w:t>414</w:t>
      </w:r>
      <w:r w:rsidR="007760B6" w:rsidRPr="0062172A">
        <w:rPr>
          <w:rFonts w:cstheme="minorHAnsi"/>
          <w:sz w:val="22"/>
          <w:szCs w:val="22"/>
        </w:rPr>
        <w:t>/201</w:t>
      </w:r>
      <w:r w:rsidR="007760B6">
        <w:rPr>
          <w:rFonts w:cstheme="minorHAnsi"/>
          <w:sz w:val="22"/>
          <w:szCs w:val="22"/>
        </w:rPr>
        <w:t>8 del 19</w:t>
      </w:r>
      <w:r w:rsidR="007760B6" w:rsidRPr="0062172A">
        <w:rPr>
          <w:rFonts w:cstheme="minorHAnsi"/>
          <w:sz w:val="22"/>
          <w:szCs w:val="22"/>
        </w:rPr>
        <w:t>/9/201</w:t>
      </w:r>
      <w:r w:rsidR="007760B6">
        <w:rPr>
          <w:rFonts w:cstheme="minorHAnsi"/>
          <w:sz w:val="22"/>
          <w:szCs w:val="22"/>
        </w:rPr>
        <w:t>8,</w:t>
      </w:r>
      <w:r w:rsidRPr="0003574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con la quale </w:t>
      </w:r>
      <w:r w:rsidRPr="0003574B">
        <w:rPr>
          <w:bCs/>
          <w:sz w:val="22"/>
          <w:szCs w:val="22"/>
        </w:rPr>
        <w:t>si è provveduto alla n</w:t>
      </w:r>
      <w:r>
        <w:rPr>
          <w:bCs/>
          <w:sz w:val="22"/>
          <w:szCs w:val="22"/>
        </w:rPr>
        <w:t>omina della Commissione giudicatrice ai sensi dell’art.97 del Regolamento per l’amministrazione e la contabilità dell’INPS;</w:t>
      </w:r>
    </w:p>
    <w:p w:rsidR="00445410" w:rsidRPr="00D92BCF" w:rsidRDefault="00445410" w:rsidP="006D4751">
      <w:pPr>
        <w:pStyle w:val="Intestazione"/>
        <w:spacing w:after="120" w:line="240" w:lineRule="auto"/>
        <w:ind w:left="1418" w:hanging="1418"/>
        <w:jc w:val="both"/>
        <w:rPr>
          <w:rFonts w:cs="Calibri"/>
          <w:sz w:val="22"/>
          <w:szCs w:val="22"/>
        </w:rPr>
      </w:pPr>
      <w:r w:rsidRPr="007C1CC5">
        <w:rPr>
          <w:rFonts w:eastAsia="Times New Roman"/>
          <w:b/>
          <w:bCs/>
          <w:sz w:val="22"/>
          <w:szCs w:val="22"/>
        </w:rPr>
        <w:t>PRESO ATTO</w:t>
      </w:r>
      <w:r w:rsidRPr="007C1CC5">
        <w:rPr>
          <w:rFonts w:eastAsia="Times New Roman"/>
          <w:bCs/>
          <w:sz w:val="22"/>
          <w:szCs w:val="22"/>
        </w:rPr>
        <w:t xml:space="preserve"> che </w:t>
      </w:r>
      <w:r>
        <w:rPr>
          <w:bCs/>
          <w:sz w:val="22"/>
          <w:szCs w:val="22"/>
        </w:rPr>
        <w:t>le operazioni di g</w:t>
      </w:r>
      <w:r w:rsidR="007760B6">
        <w:rPr>
          <w:bCs/>
          <w:sz w:val="22"/>
          <w:szCs w:val="22"/>
        </w:rPr>
        <w:t>ara hanno preso avvio il giorno</w:t>
      </w:r>
      <w:r w:rsidR="00A362D8">
        <w:rPr>
          <w:bCs/>
          <w:sz w:val="22"/>
          <w:szCs w:val="22"/>
        </w:rPr>
        <w:t xml:space="preserve"> </w:t>
      </w:r>
      <w:r w:rsidR="007760B6">
        <w:rPr>
          <w:bCs/>
          <w:sz w:val="22"/>
          <w:szCs w:val="22"/>
        </w:rPr>
        <w:t>20 settembre 2018</w:t>
      </w:r>
      <w:r>
        <w:rPr>
          <w:bCs/>
          <w:sz w:val="22"/>
          <w:szCs w:val="22"/>
        </w:rPr>
        <w:t xml:space="preserve"> e si sono concluse c</w:t>
      </w:r>
      <w:r w:rsidR="007760B6">
        <w:rPr>
          <w:bCs/>
          <w:sz w:val="22"/>
          <w:szCs w:val="22"/>
        </w:rPr>
        <w:t>on la seduta del 14 gennaio 2018</w:t>
      </w:r>
      <w:r>
        <w:rPr>
          <w:bCs/>
          <w:sz w:val="22"/>
          <w:szCs w:val="22"/>
        </w:rPr>
        <w:t xml:space="preserve"> nella quale la Commissione giudic</w:t>
      </w:r>
      <w:r w:rsidR="007760B6">
        <w:rPr>
          <w:bCs/>
          <w:sz w:val="22"/>
          <w:szCs w:val="22"/>
        </w:rPr>
        <w:t>atrice, dopo aver riscontrato la congruità delle giustificazioni fornite in merito all’anomalia dell’offerta</w:t>
      </w:r>
      <w:r>
        <w:rPr>
          <w:bCs/>
          <w:sz w:val="22"/>
          <w:szCs w:val="22"/>
        </w:rPr>
        <w:t xml:space="preserve">, ha unanimemente deliberato di aggiudicare la gara alla </w:t>
      </w:r>
      <w:r w:rsidR="007760B6">
        <w:rPr>
          <w:bCs/>
          <w:sz w:val="22"/>
          <w:szCs w:val="22"/>
        </w:rPr>
        <w:t>ditta Ambiente Lavori SRLS</w:t>
      </w:r>
      <w:r>
        <w:rPr>
          <w:rFonts w:cs="Calibri"/>
          <w:sz w:val="22"/>
          <w:szCs w:val="22"/>
        </w:rPr>
        <w:t xml:space="preserve"> </w:t>
      </w:r>
      <w:r w:rsidRPr="00D92BCF">
        <w:rPr>
          <w:bCs/>
          <w:sz w:val="22"/>
          <w:szCs w:val="22"/>
        </w:rPr>
        <w:t>per aver raggiunto il miglior punteggio dato dalla somma dei punteggi attribuiti all’offerta tecnica ed all’offerta economica</w:t>
      </w:r>
      <w:r>
        <w:rPr>
          <w:bCs/>
          <w:sz w:val="22"/>
          <w:szCs w:val="22"/>
        </w:rPr>
        <w:t>;</w:t>
      </w:r>
    </w:p>
    <w:p w:rsidR="00445410" w:rsidRDefault="00445410" w:rsidP="006D4751">
      <w:pPr>
        <w:spacing w:after="120" w:line="240" w:lineRule="auto"/>
        <w:ind w:left="1418" w:hanging="1418"/>
        <w:jc w:val="both"/>
        <w:rPr>
          <w:bCs/>
          <w:sz w:val="22"/>
          <w:szCs w:val="22"/>
        </w:rPr>
      </w:pPr>
      <w:r w:rsidRPr="007C1CC5">
        <w:rPr>
          <w:rFonts w:eastAsia="Times New Roman"/>
          <w:b/>
          <w:bCs/>
          <w:sz w:val="22"/>
          <w:szCs w:val="22"/>
        </w:rPr>
        <w:t>PRESO ATTO</w:t>
      </w:r>
      <w:r w:rsidRPr="007C1CC5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che i</w:t>
      </w:r>
      <w:r>
        <w:rPr>
          <w:bCs/>
          <w:sz w:val="22"/>
          <w:szCs w:val="22"/>
        </w:rPr>
        <w:t>l ribasso percentuale effettuato sul</w:t>
      </w:r>
      <w:r w:rsidR="007760B6">
        <w:rPr>
          <w:bCs/>
          <w:sz w:val="22"/>
          <w:szCs w:val="22"/>
        </w:rPr>
        <w:t>l’importo a base di gara</w:t>
      </w:r>
      <w:r>
        <w:rPr>
          <w:bCs/>
          <w:sz w:val="22"/>
          <w:szCs w:val="22"/>
        </w:rPr>
        <w:t xml:space="preserve"> è stato del </w:t>
      </w:r>
      <w:r w:rsidR="00A362D8">
        <w:rPr>
          <w:bCs/>
          <w:sz w:val="22"/>
          <w:szCs w:val="22"/>
        </w:rPr>
        <w:t>23,1</w:t>
      </w:r>
      <w:r>
        <w:rPr>
          <w:bCs/>
          <w:sz w:val="22"/>
          <w:szCs w:val="22"/>
        </w:rPr>
        <w:t xml:space="preserve">0% per un </w:t>
      </w:r>
      <w:r w:rsidR="007760B6">
        <w:rPr>
          <w:bCs/>
          <w:sz w:val="22"/>
          <w:szCs w:val="22"/>
        </w:rPr>
        <w:t>importo complessivamente offerto</w:t>
      </w:r>
      <w:r>
        <w:rPr>
          <w:bCs/>
          <w:sz w:val="22"/>
          <w:szCs w:val="22"/>
        </w:rPr>
        <w:t xml:space="preserve"> pari a € </w:t>
      </w:r>
      <w:r w:rsidR="007760B6">
        <w:rPr>
          <w:bCs/>
          <w:sz w:val="22"/>
          <w:szCs w:val="22"/>
        </w:rPr>
        <w:t>169.702,92</w:t>
      </w:r>
      <w:r>
        <w:rPr>
          <w:bCs/>
          <w:sz w:val="22"/>
          <w:szCs w:val="22"/>
        </w:rPr>
        <w:t xml:space="preserve"> iva esclusa.</w:t>
      </w:r>
    </w:p>
    <w:p w:rsidR="00445410" w:rsidRDefault="00445410" w:rsidP="006D4751">
      <w:pPr>
        <w:spacing w:after="120" w:line="240" w:lineRule="auto"/>
        <w:ind w:left="1418" w:hanging="1418"/>
        <w:jc w:val="both"/>
        <w:rPr>
          <w:rFonts w:eastAsia="Times New Roman"/>
          <w:sz w:val="22"/>
          <w:szCs w:val="22"/>
        </w:rPr>
      </w:pPr>
      <w:r w:rsidRPr="007C1CC5">
        <w:rPr>
          <w:rFonts w:eastAsia="Times New Roman"/>
          <w:b/>
          <w:bCs/>
          <w:sz w:val="22"/>
          <w:szCs w:val="22"/>
        </w:rPr>
        <w:t>VISTA</w:t>
      </w:r>
      <w:r w:rsidRPr="007C1CC5">
        <w:rPr>
          <w:rFonts w:eastAsia="Times New Roman"/>
          <w:bCs/>
          <w:sz w:val="22"/>
          <w:szCs w:val="22"/>
        </w:rPr>
        <w:t xml:space="preserve"> </w:t>
      </w:r>
      <w:r w:rsidR="00EB35F2">
        <w:rPr>
          <w:rFonts w:eastAsia="Times New Roman"/>
          <w:bCs/>
          <w:sz w:val="22"/>
          <w:szCs w:val="22"/>
        </w:rPr>
        <w:tab/>
      </w:r>
      <w:r w:rsidRPr="007C1CC5">
        <w:rPr>
          <w:rFonts w:eastAsia="Times New Roman"/>
          <w:bCs/>
          <w:sz w:val="22"/>
          <w:szCs w:val="22"/>
        </w:rPr>
        <w:t xml:space="preserve">la graduatoria stilata dalla Commissione giudicatrice relativa al </w:t>
      </w:r>
      <w:r w:rsidRPr="007C1CC5">
        <w:rPr>
          <w:rFonts w:eastAsia="Times New Roman"/>
          <w:sz w:val="22"/>
          <w:szCs w:val="22"/>
        </w:rPr>
        <w:t>punteggio totale (offerta tecnica + offerta e</w:t>
      </w:r>
      <w:r w:rsidR="007760B6">
        <w:rPr>
          <w:rFonts w:eastAsia="Times New Roman"/>
          <w:sz w:val="22"/>
          <w:szCs w:val="22"/>
        </w:rPr>
        <w:t>conomica) di seguito r</w:t>
      </w:r>
      <w:r w:rsidR="00015D50">
        <w:rPr>
          <w:rFonts w:eastAsia="Times New Roman"/>
          <w:sz w:val="22"/>
          <w:szCs w:val="22"/>
        </w:rPr>
        <w:t>iportata</w:t>
      </w:r>
      <w:r w:rsidR="00EB35F2">
        <w:rPr>
          <w:rFonts w:eastAsia="Times New Roman"/>
          <w:sz w:val="22"/>
          <w:szCs w:val="22"/>
        </w:rPr>
        <w:t>:</w:t>
      </w:r>
    </w:p>
    <w:p w:rsidR="00EB35F2" w:rsidRPr="007760B6" w:rsidRDefault="00EB35F2" w:rsidP="006D4751">
      <w:pPr>
        <w:spacing w:after="120" w:line="240" w:lineRule="auto"/>
        <w:ind w:left="1418" w:hanging="1418"/>
        <w:jc w:val="both"/>
        <w:rPr>
          <w:rFonts w:eastAsia="Times New Roman"/>
          <w:sz w:val="22"/>
          <w:szCs w:val="22"/>
        </w:rPr>
      </w:pPr>
    </w:p>
    <w:tbl>
      <w:tblPr>
        <w:tblW w:w="5487" w:type="dxa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68"/>
      </w:tblGrid>
      <w:tr w:rsidR="00015D50" w:rsidRPr="006A64EF" w:rsidTr="008161AC">
        <w:trPr>
          <w:trHeight w:val="566"/>
        </w:trPr>
        <w:tc>
          <w:tcPr>
            <w:tcW w:w="3119" w:type="dxa"/>
            <w:shd w:val="clear" w:color="auto" w:fill="ACB9CA" w:themeFill="text2" w:themeFillTint="66"/>
          </w:tcPr>
          <w:p w:rsidR="00015D50" w:rsidRPr="006A64EF" w:rsidRDefault="00015D50" w:rsidP="001A794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i/>
                <w:iCs/>
                <w:smallCaps/>
                <w:sz w:val="20"/>
                <w:szCs w:val="20"/>
              </w:rPr>
            </w:pPr>
            <w:r w:rsidRPr="006A64EF">
              <w:rPr>
                <w:rFonts w:asciiTheme="minorHAnsi" w:hAnsiTheme="minorHAnsi" w:cstheme="minorHAnsi"/>
                <w:i/>
                <w:iCs/>
                <w:smallCaps/>
                <w:sz w:val="20"/>
                <w:szCs w:val="20"/>
              </w:rPr>
              <w:t>Operatore</w:t>
            </w:r>
          </w:p>
        </w:tc>
        <w:tc>
          <w:tcPr>
            <w:tcW w:w="2368" w:type="dxa"/>
            <w:shd w:val="clear" w:color="auto" w:fill="ACB9CA" w:themeFill="text2" w:themeFillTint="66"/>
          </w:tcPr>
          <w:p w:rsidR="00015D50" w:rsidRPr="006A64EF" w:rsidRDefault="00015D50" w:rsidP="001A794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i/>
                <w:smallCaps/>
                <w:sz w:val="20"/>
                <w:szCs w:val="20"/>
              </w:rPr>
            </w:pPr>
            <w:r w:rsidRPr="006A64EF">
              <w:rPr>
                <w:rFonts w:asciiTheme="minorHAnsi" w:hAnsiTheme="minorHAnsi" w:cstheme="minorHAnsi"/>
                <w:bCs/>
                <w:i/>
                <w:smallCaps/>
                <w:sz w:val="20"/>
                <w:szCs w:val="20"/>
              </w:rPr>
              <w:t xml:space="preserve">punteggio </w:t>
            </w:r>
            <w:r>
              <w:rPr>
                <w:rFonts w:asciiTheme="minorHAnsi" w:hAnsiTheme="minorHAnsi" w:cstheme="minorHAnsi"/>
                <w:bCs/>
                <w:i/>
                <w:smallCaps/>
                <w:sz w:val="20"/>
                <w:szCs w:val="20"/>
              </w:rPr>
              <w:t>TOTALE</w:t>
            </w:r>
          </w:p>
        </w:tc>
      </w:tr>
      <w:tr w:rsidR="00015D50" w:rsidRPr="006A64EF" w:rsidTr="008161AC">
        <w:trPr>
          <w:trHeight w:val="277"/>
        </w:trPr>
        <w:tc>
          <w:tcPr>
            <w:tcW w:w="3119" w:type="dxa"/>
            <w:shd w:val="clear" w:color="auto" w:fill="auto"/>
          </w:tcPr>
          <w:p w:rsidR="00015D50" w:rsidRPr="006A64EF" w:rsidRDefault="00015D50" w:rsidP="001A794E">
            <w:pPr>
              <w:spacing w:after="200" w:line="276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A.CONTI SRL</w:t>
            </w:r>
            <w:r w:rsidRPr="006A64EF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015D50" w:rsidRPr="006A64EF" w:rsidRDefault="00015D50" w:rsidP="008161AC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67,14</w:t>
            </w:r>
          </w:p>
        </w:tc>
      </w:tr>
      <w:tr w:rsidR="00015D50" w:rsidRPr="006A64EF" w:rsidTr="008161AC">
        <w:trPr>
          <w:trHeight w:val="483"/>
        </w:trPr>
        <w:tc>
          <w:tcPr>
            <w:tcW w:w="3119" w:type="dxa"/>
            <w:shd w:val="clear" w:color="auto" w:fill="auto"/>
          </w:tcPr>
          <w:p w:rsidR="00015D50" w:rsidRPr="006A64EF" w:rsidRDefault="00015D50" w:rsidP="001A794E">
            <w:pPr>
              <w:spacing w:after="200" w:line="276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AMBIENTELAVORI SRLS</w:t>
            </w:r>
          </w:p>
        </w:tc>
        <w:tc>
          <w:tcPr>
            <w:tcW w:w="2368" w:type="dxa"/>
            <w:shd w:val="clear" w:color="auto" w:fill="auto"/>
          </w:tcPr>
          <w:p w:rsidR="00015D50" w:rsidRPr="006A64EF" w:rsidRDefault="00015D50" w:rsidP="008161A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89,15</w:t>
            </w:r>
          </w:p>
        </w:tc>
      </w:tr>
      <w:tr w:rsidR="00015D50" w:rsidRPr="006A64EF" w:rsidTr="008161AC">
        <w:trPr>
          <w:trHeight w:val="249"/>
        </w:trPr>
        <w:tc>
          <w:tcPr>
            <w:tcW w:w="3119" w:type="dxa"/>
            <w:shd w:val="clear" w:color="auto" w:fill="auto"/>
          </w:tcPr>
          <w:p w:rsidR="00015D50" w:rsidRPr="006A64EF" w:rsidRDefault="00015D50" w:rsidP="001A794E">
            <w:pPr>
              <w:spacing w:after="200" w:line="276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LA MOLINELLA SNC</w:t>
            </w:r>
          </w:p>
        </w:tc>
        <w:tc>
          <w:tcPr>
            <w:tcW w:w="2368" w:type="dxa"/>
            <w:shd w:val="clear" w:color="auto" w:fill="auto"/>
          </w:tcPr>
          <w:p w:rsidR="00015D50" w:rsidRPr="006A64EF" w:rsidRDefault="00015D50" w:rsidP="008161AC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84,85</w:t>
            </w:r>
          </w:p>
        </w:tc>
      </w:tr>
      <w:tr w:rsidR="00015D50" w:rsidRPr="006A64EF" w:rsidTr="008161AC">
        <w:trPr>
          <w:trHeight w:val="249"/>
        </w:trPr>
        <w:tc>
          <w:tcPr>
            <w:tcW w:w="3119" w:type="dxa"/>
            <w:shd w:val="clear" w:color="auto" w:fill="auto"/>
          </w:tcPr>
          <w:p w:rsidR="00015D50" w:rsidRPr="006A64EF" w:rsidRDefault="00015D50" w:rsidP="001A794E">
            <w:pPr>
              <w:spacing w:after="200" w:line="276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NON SOLO VERDE</w:t>
            </w:r>
          </w:p>
        </w:tc>
        <w:tc>
          <w:tcPr>
            <w:tcW w:w="2368" w:type="dxa"/>
            <w:shd w:val="clear" w:color="auto" w:fill="auto"/>
          </w:tcPr>
          <w:p w:rsidR="00015D50" w:rsidRPr="006A64EF" w:rsidRDefault="00015D50" w:rsidP="008161AC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65,2</w:t>
            </w:r>
          </w:p>
        </w:tc>
      </w:tr>
    </w:tbl>
    <w:p w:rsidR="00015D50" w:rsidRDefault="00015D50" w:rsidP="00015D50">
      <w:pPr>
        <w:rPr>
          <w:sz w:val="22"/>
          <w:szCs w:val="22"/>
        </w:rPr>
      </w:pPr>
    </w:p>
    <w:p w:rsidR="00445410" w:rsidRPr="007C1CC5" w:rsidRDefault="00445410" w:rsidP="006D4751">
      <w:pPr>
        <w:spacing w:after="120" w:line="240" w:lineRule="auto"/>
        <w:ind w:left="1418" w:hanging="1418"/>
        <w:jc w:val="both"/>
        <w:rPr>
          <w:rFonts w:eastAsia="Times New Roman"/>
          <w:sz w:val="22"/>
          <w:szCs w:val="22"/>
        </w:rPr>
      </w:pPr>
      <w:r w:rsidRPr="007C1CC5">
        <w:rPr>
          <w:rFonts w:eastAsia="Times New Roman"/>
          <w:b/>
          <w:sz w:val="22"/>
          <w:szCs w:val="22"/>
        </w:rPr>
        <w:t xml:space="preserve">VISTI </w:t>
      </w:r>
      <w:r w:rsidR="008161AC">
        <w:rPr>
          <w:rFonts w:eastAsia="Times New Roman"/>
          <w:b/>
          <w:sz w:val="22"/>
          <w:szCs w:val="22"/>
        </w:rPr>
        <w:tab/>
      </w:r>
      <w:r w:rsidRPr="007C1CC5">
        <w:rPr>
          <w:rFonts w:eastAsia="Times New Roman"/>
          <w:sz w:val="22"/>
          <w:szCs w:val="22"/>
        </w:rPr>
        <w:t xml:space="preserve">i verbali di gara relativi alle sedute dal </w:t>
      </w:r>
      <w:r w:rsidR="00015D50">
        <w:rPr>
          <w:rFonts w:eastAsia="Times New Roman"/>
          <w:sz w:val="22"/>
          <w:szCs w:val="22"/>
        </w:rPr>
        <w:t>20</w:t>
      </w:r>
      <w:r w:rsidRPr="007C1CC5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09</w:t>
      </w:r>
      <w:r w:rsidRPr="007C1CC5">
        <w:rPr>
          <w:rFonts w:eastAsia="Times New Roman"/>
          <w:sz w:val="22"/>
          <w:szCs w:val="22"/>
        </w:rPr>
        <w:t>.201</w:t>
      </w:r>
      <w:r w:rsidR="00015D50">
        <w:rPr>
          <w:rFonts w:eastAsia="Times New Roman"/>
          <w:sz w:val="22"/>
          <w:szCs w:val="22"/>
        </w:rPr>
        <w:t>8</w:t>
      </w:r>
      <w:r w:rsidRPr="007C1CC5">
        <w:rPr>
          <w:rFonts w:eastAsia="Times New Roman"/>
          <w:sz w:val="22"/>
          <w:szCs w:val="22"/>
        </w:rPr>
        <w:t xml:space="preserve"> al </w:t>
      </w:r>
      <w:r>
        <w:rPr>
          <w:rFonts w:eastAsia="Times New Roman"/>
          <w:sz w:val="22"/>
          <w:szCs w:val="22"/>
        </w:rPr>
        <w:t>14</w:t>
      </w:r>
      <w:r w:rsidRPr="007C1CC5">
        <w:rPr>
          <w:rFonts w:eastAsia="Times New Roman"/>
          <w:sz w:val="22"/>
          <w:szCs w:val="22"/>
        </w:rPr>
        <w:t>.0</w:t>
      </w:r>
      <w:r>
        <w:rPr>
          <w:rFonts w:eastAsia="Times New Roman"/>
          <w:sz w:val="22"/>
          <w:szCs w:val="22"/>
        </w:rPr>
        <w:t>1</w:t>
      </w:r>
      <w:r w:rsidRPr="007C1CC5">
        <w:rPr>
          <w:rFonts w:eastAsia="Times New Roman"/>
          <w:sz w:val="22"/>
          <w:szCs w:val="22"/>
        </w:rPr>
        <w:t>.201</w:t>
      </w:r>
      <w:r w:rsidR="008161AC">
        <w:rPr>
          <w:rFonts w:eastAsia="Times New Roman"/>
          <w:sz w:val="22"/>
          <w:szCs w:val="22"/>
        </w:rPr>
        <w:t>9</w:t>
      </w:r>
      <w:r w:rsidRPr="007C1CC5">
        <w:rPr>
          <w:rFonts w:eastAsia="Times New Roman"/>
          <w:sz w:val="22"/>
          <w:szCs w:val="22"/>
        </w:rPr>
        <w:t xml:space="preserve"> della Commissione giudicatrice;</w:t>
      </w:r>
    </w:p>
    <w:p w:rsidR="00445410" w:rsidRPr="007C1CC5" w:rsidRDefault="00445410" w:rsidP="006D4751">
      <w:pPr>
        <w:spacing w:after="120" w:line="240" w:lineRule="auto"/>
        <w:ind w:left="1418" w:hanging="1418"/>
        <w:jc w:val="both"/>
        <w:rPr>
          <w:rFonts w:eastAsia="Times New Roman"/>
          <w:sz w:val="22"/>
          <w:szCs w:val="22"/>
        </w:rPr>
      </w:pPr>
      <w:r w:rsidRPr="007C1CC5">
        <w:rPr>
          <w:rFonts w:eastAsia="Times New Roman"/>
          <w:b/>
          <w:sz w:val="22"/>
          <w:szCs w:val="22"/>
        </w:rPr>
        <w:t xml:space="preserve">VISTE </w:t>
      </w:r>
      <w:r w:rsidR="008161AC">
        <w:rPr>
          <w:rFonts w:eastAsia="Times New Roman"/>
          <w:b/>
          <w:sz w:val="22"/>
          <w:szCs w:val="22"/>
        </w:rPr>
        <w:tab/>
      </w:r>
      <w:r w:rsidRPr="007C1CC5">
        <w:rPr>
          <w:rFonts w:eastAsia="Times New Roman"/>
          <w:sz w:val="22"/>
          <w:szCs w:val="22"/>
        </w:rPr>
        <w:t>le risultanze tutte della procedura celebrata, come riportate nei verbali di gara;</w:t>
      </w:r>
    </w:p>
    <w:p w:rsidR="00445410" w:rsidRDefault="00445410" w:rsidP="006D4751">
      <w:pPr>
        <w:pStyle w:val="INPS052headufficio"/>
        <w:spacing w:line="240" w:lineRule="auto"/>
        <w:ind w:left="1418" w:hanging="1418"/>
        <w:jc w:val="both"/>
        <w:rPr>
          <w:rFonts w:eastAsia="Times New Roman"/>
          <w:sz w:val="22"/>
          <w:szCs w:val="22"/>
        </w:rPr>
      </w:pPr>
      <w:r w:rsidRPr="007C1CC5">
        <w:rPr>
          <w:rFonts w:eastAsia="Times New Roman"/>
          <w:b/>
          <w:sz w:val="22"/>
          <w:szCs w:val="22"/>
        </w:rPr>
        <w:t xml:space="preserve">VISTA </w:t>
      </w:r>
      <w:r w:rsidR="008161AC">
        <w:rPr>
          <w:rFonts w:eastAsia="Times New Roman"/>
          <w:b/>
          <w:sz w:val="22"/>
          <w:szCs w:val="22"/>
        </w:rPr>
        <w:tab/>
      </w:r>
      <w:r w:rsidR="00015D50">
        <w:rPr>
          <w:rFonts w:eastAsia="Times New Roman"/>
          <w:sz w:val="22"/>
          <w:szCs w:val="22"/>
        </w:rPr>
        <w:t xml:space="preserve">la relazione predisposta </w:t>
      </w:r>
      <w:r w:rsidRPr="007C1CC5">
        <w:rPr>
          <w:rFonts w:eastAsia="Times New Roman"/>
          <w:sz w:val="22"/>
          <w:szCs w:val="22"/>
        </w:rPr>
        <w:t>dal dirigente competente</w:t>
      </w:r>
      <w:r>
        <w:rPr>
          <w:rFonts w:eastAsia="Times New Roman"/>
          <w:sz w:val="22"/>
          <w:szCs w:val="22"/>
        </w:rPr>
        <w:t>;</w:t>
      </w:r>
    </w:p>
    <w:p w:rsidR="00445410" w:rsidRPr="007C1CC5" w:rsidRDefault="00445410" w:rsidP="00445410">
      <w:pPr>
        <w:pStyle w:val="INPS052headufficio"/>
        <w:spacing w:line="240" w:lineRule="auto"/>
        <w:jc w:val="both"/>
        <w:rPr>
          <w:rFonts w:eastAsia="Times New Roman"/>
          <w:sz w:val="22"/>
          <w:szCs w:val="22"/>
        </w:rPr>
      </w:pPr>
    </w:p>
    <w:p w:rsidR="00445410" w:rsidRPr="007C1CC5" w:rsidRDefault="00445410" w:rsidP="00445410">
      <w:pPr>
        <w:spacing w:line="240" w:lineRule="auto"/>
        <w:ind w:left="1701" w:right="-143" w:hanging="1701"/>
        <w:jc w:val="both"/>
        <w:rPr>
          <w:rFonts w:eastAsia="Times New Roman"/>
          <w:sz w:val="22"/>
          <w:szCs w:val="22"/>
        </w:rPr>
      </w:pPr>
    </w:p>
    <w:p w:rsidR="00445410" w:rsidRPr="007C1CC5" w:rsidRDefault="00445410" w:rsidP="00445410">
      <w:pPr>
        <w:tabs>
          <w:tab w:val="left" w:pos="0"/>
        </w:tabs>
        <w:spacing w:line="240" w:lineRule="auto"/>
        <w:jc w:val="center"/>
        <w:rPr>
          <w:rFonts w:eastAsia="Times New Roman"/>
          <w:b/>
          <w:sz w:val="22"/>
          <w:szCs w:val="22"/>
        </w:rPr>
      </w:pPr>
      <w:r w:rsidRPr="007C1CC5">
        <w:rPr>
          <w:rFonts w:eastAsia="Times New Roman"/>
          <w:b/>
          <w:sz w:val="22"/>
          <w:szCs w:val="22"/>
        </w:rPr>
        <w:t>DETERMINA</w:t>
      </w:r>
    </w:p>
    <w:p w:rsidR="00445410" w:rsidRPr="007C1CC5" w:rsidRDefault="00445410" w:rsidP="006D4751">
      <w:pPr>
        <w:spacing w:line="240" w:lineRule="auto"/>
        <w:rPr>
          <w:rFonts w:eastAsia="Times New Roman"/>
          <w:sz w:val="22"/>
          <w:szCs w:val="22"/>
        </w:rPr>
      </w:pPr>
    </w:p>
    <w:p w:rsidR="00445410" w:rsidRPr="00015D50" w:rsidRDefault="00445410" w:rsidP="006D4751">
      <w:pPr>
        <w:pStyle w:val="Paragrafoelenco"/>
        <w:numPr>
          <w:ilvl w:val="0"/>
          <w:numId w:val="4"/>
        </w:numPr>
        <w:spacing w:after="120"/>
        <w:ind w:hanging="720"/>
        <w:jc w:val="both"/>
        <w:rPr>
          <w:rFonts w:ascii="Verdana" w:hAnsi="Verdana"/>
          <w:sz w:val="22"/>
          <w:szCs w:val="22"/>
        </w:rPr>
      </w:pPr>
      <w:r w:rsidRPr="00015D50">
        <w:rPr>
          <w:rFonts w:ascii="Verdana" w:hAnsi="Verdana"/>
          <w:sz w:val="22"/>
          <w:szCs w:val="22"/>
        </w:rPr>
        <w:t xml:space="preserve">di aggiudicare  </w:t>
      </w:r>
      <w:r w:rsidRPr="00015D50">
        <w:rPr>
          <w:rFonts w:ascii="Verdana" w:hAnsi="Verdana"/>
          <w:bCs/>
          <w:sz w:val="22"/>
          <w:szCs w:val="22"/>
        </w:rPr>
        <w:t>l’affidamento del</w:t>
      </w:r>
      <w:r w:rsidR="00015D50" w:rsidRPr="00015D50">
        <w:rPr>
          <w:rFonts w:ascii="Verdana" w:hAnsi="Verdana"/>
          <w:bCs/>
          <w:sz w:val="22"/>
          <w:szCs w:val="22"/>
        </w:rPr>
        <w:t xml:space="preserve"> </w:t>
      </w:r>
      <w:r w:rsidR="00015D50" w:rsidRPr="00015D50">
        <w:rPr>
          <w:rFonts w:ascii="Verdana" w:hAnsi="Verdana"/>
          <w:bCs/>
          <w:i/>
          <w:sz w:val="22"/>
          <w:szCs w:val="22"/>
        </w:rPr>
        <w:t xml:space="preserve">Servizio di manutenzione cura e coltura delle alberature, piante in vaso, campi sportivi, parco giochi e delle aree verdi di pertinenza del Convitto Principe di Piemonte di Anagni (FR)” </w:t>
      </w:r>
      <w:r w:rsidRPr="00015D50">
        <w:rPr>
          <w:rFonts w:ascii="Verdana" w:hAnsi="Verdana"/>
          <w:bCs/>
          <w:i/>
          <w:sz w:val="22"/>
          <w:szCs w:val="22"/>
        </w:rPr>
        <w:t xml:space="preserve">CIG </w:t>
      </w:r>
      <w:r w:rsidR="00015D50" w:rsidRPr="00015D50">
        <w:rPr>
          <w:rFonts w:ascii="Verdana" w:hAnsi="Verdana"/>
          <w:sz w:val="22"/>
          <w:szCs w:val="22"/>
        </w:rPr>
        <w:t xml:space="preserve">759165825E </w:t>
      </w:r>
      <w:r w:rsidRPr="00015D50">
        <w:rPr>
          <w:rFonts w:ascii="Verdana" w:hAnsi="Verdana"/>
          <w:sz w:val="22"/>
          <w:szCs w:val="22"/>
        </w:rPr>
        <w:t>alla</w:t>
      </w:r>
      <w:r w:rsidRPr="00015D50">
        <w:rPr>
          <w:rFonts w:ascii="Verdana" w:hAnsi="Verdana" w:cs="Calibri"/>
          <w:sz w:val="22"/>
          <w:szCs w:val="22"/>
        </w:rPr>
        <w:t xml:space="preserve"> </w:t>
      </w:r>
      <w:r w:rsidR="00015D50" w:rsidRPr="00015D50">
        <w:rPr>
          <w:rFonts w:ascii="Verdana" w:hAnsi="Verdana" w:cs="Calibri"/>
          <w:sz w:val="22"/>
          <w:szCs w:val="22"/>
        </w:rPr>
        <w:t xml:space="preserve">ditta Ambiente Lavori SRLS </w:t>
      </w:r>
      <w:r w:rsidRPr="00015D50">
        <w:rPr>
          <w:rFonts w:ascii="Verdana" w:hAnsi="Verdana"/>
          <w:sz w:val="22"/>
          <w:szCs w:val="22"/>
        </w:rPr>
        <w:t xml:space="preserve">con sede legale in </w:t>
      </w:r>
      <w:r w:rsidRPr="00015D50">
        <w:rPr>
          <w:rFonts w:ascii="Verdana" w:hAnsi="Verdana" w:cs="Calibri"/>
          <w:sz w:val="22"/>
          <w:szCs w:val="22"/>
        </w:rPr>
        <w:t xml:space="preserve">Via </w:t>
      </w:r>
      <w:r w:rsidR="00015D50" w:rsidRPr="00015D50">
        <w:rPr>
          <w:rFonts w:ascii="Verdana" w:hAnsi="Verdana" w:cs="Calibri"/>
          <w:sz w:val="22"/>
          <w:szCs w:val="22"/>
        </w:rPr>
        <w:t>A. Bertoloni, 3/b</w:t>
      </w:r>
      <w:r w:rsidRPr="00015D50">
        <w:rPr>
          <w:rFonts w:ascii="Verdana" w:hAnsi="Verdana"/>
          <w:sz w:val="22"/>
          <w:szCs w:val="22"/>
        </w:rPr>
        <w:t xml:space="preserve"> – </w:t>
      </w:r>
      <w:r w:rsidR="00015D50" w:rsidRPr="00015D50">
        <w:rPr>
          <w:rFonts w:ascii="Verdana" w:hAnsi="Verdana"/>
          <w:sz w:val="22"/>
          <w:szCs w:val="22"/>
        </w:rPr>
        <w:t>00197</w:t>
      </w:r>
      <w:r w:rsidRPr="00015D50">
        <w:rPr>
          <w:rFonts w:ascii="Verdana" w:hAnsi="Verdana"/>
          <w:sz w:val="22"/>
          <w:szCs w:val="22"/>
        </w:rPr>
        <w:t xml:space="preserve"> </w:t>
      </w:r>
      <w:r w:rsidR="00015D50" w:rsidRPr="00015D50">
        <w:rPr>
          <w:rFonts w:ascii="Verdana" w:hAnsi="Verdana"/>
          <w:sz w:val="22"/>
          <w:szCs w:val="22"/>
        </w:rPr>
        <w:t xml:space="preserve">Roma </w:t>
      </w:r>
      <w:r w:rsidRPr="00015D50">
        <w:rPr>
          <w:rFonts w:ascii="Verdana" w:hAnsi="Verdana"/>
          <w:sz w:val="22"/>
          <w:szCs w:val="22"/>
        </w:rPr>
        <w:t xml:space="preserve">- </w:t>
      </w:r>
      <w:r w:rsidRPr="00015D50">
        <w:rPr>
          <w:rFonts w:ascii="Verdana" w:hAnsi="Verdana" w:cs="Calibri"/>
          <w:sz w:val="22"/>
          <w:szCs w:val="22"/>
        </w:rPr>
        <w:t>P.I.</w:t>
      </w:r>
      <w:r w:rsidR="00015D50" w:rsidRPr="00015D50">
        <w:rPr>
          <w:rFonts w:ascii="Verdana" w:hAnsi="Verdana" w:cs="Calibri"/>
          <w:sz w:val="22"/>
          <w:szCs w:val="22"/>
        </w:rPr>
        <w:t>13515181009</w:t>
      </w:r>
      <w:r w:rsidRPr="00015D50">
        <w:rPr>
          <w:rFonts w:ascii="Verdana" w:hAnsi="Verdana"/>
          <w:sz w:val="22"/>
          <w:szCs w:val="22"/>
        </w:rPr>
        <w:t>, per aver raggiunto il miglior punteggio totale dato dalla somma dei punteggi attribuiti all’offerta tecnica ed all’offerta economica;</w:t>
      </w:r>
    </w:p>
    <w:p w:rsidR="00015D50" w:rsidRPr="004730B2" w:rsidRDefault="00015D50" w:rsidP="006D4751">
      <w:pPr>
        <w:pStyle w:val="Paragrafoelenco"/>
        <w:numPr>
          <w:ilvl w:val="0"/>
          <w:numId w:val="4"/>
        </w:numPr>
        <w:tabs>
          <w:tab w:val="left" w:pos="0"/>
        </w:tabs>
        <w:spacing w:after="120"/>
        <w:ind w:hanging="720"/>
        <w:contextualSpacing/>
        <w:jc w:val="both"/>
        <w:rPr>
          <w:rFonts w:ascii="Verdana" w:hAnsi="Verdana"/>
          <w:sz w:val="22"/>
          <w:szCs w:val="22"/>
        </w:rPr>
      </w:pPr>
      <w:r w:rsidRPr="004730B2">
        <w:rPr>
          <w:rFonts w:ascii="Verdana" w:hAnsi="Verdana"/>
          <w:sz w:val="22"/>
          <w:szCs w:val="22"/>
        </w:rPr>
        <w:t>di dare mandato al RUP, affinché:</w:t>
      </w:r>
    </w:p>
    <w:p w:rsidR="00015D50" w:rsidRPr="004730B2" w:rsidRDefault="00015D50" w:rsidP="006D4751">
      <w:pPr>
        <w:pStyle w:val="Paragrafoelenco"/>
        <w:numPr>
          <w:ilvl w:val="1"/>
          <w:numId w:val="4"/>
        </w:numPr>
        <w:spacing w:after="120"/>
        <w:contextualSpacing/>
        <w:jc w:val="both"/>
        <w:rPr>
          <w:rFonts w:ascii="Verdana" w:hAnsi="Verdana"/>
          <w:sz w:val="22"/>
          <w:szCs w:val="22"/>
        </w:rPr>
      </w:pPr>
      <w:r w:rsidRPr="004730B2">
        <w:rPr>
          <w:rFonts w:ascii="Verdana" w:hAnsi="Verdana"/>
          <w:sz w:val="22"/>
          <w:szCs w:val="22"/>
        </w:rPr>
        <w:t>svolga le comunicazioni del caso in merito alla presente aggiudicazione, ai sensi dell’art. 76, comma 5 del D.Lgs. n. 50/2016;</w:t>
      </w:r>
    </w:p>
    <w:p w:rsidR="00015D50" w:rsidRPr="004730B2" w:rsidRDefault="00015D50" w:rsidP="006D4751">
      <w:pPr>
        <w:pStyle w:val="Paragrafoelenco"/>
        <w:numPr>
          <w:ilvl w:val="1"/>
          <w:numId w:val="4"/>
        </w:numPr>
        <w:spacing w:after="120"/>
        <w:contextualSpacing/>
        <w:jc w:val="both"/>
        <w:rPr>
          <w:rFonts w:ascii="Verdana" w:hAnsi="Verdana"/>
          <w:sz w:val="22"/>
          <w:szCs w:val="22"/>
        </w:rPr>
      </w:pPr>
      <w:r w:rsidRPr="004730B2">
        <w:rPr>
          <w:rFonts w:ascii="Verdana" w:hAnsi="Verdana"/>
          <w:sz w:val="22"/>
          <w:szCs w:val="22"/>
        </w:rPr>
        <w:lastRenderedPageBreak/>
        <w:t>richieda all’ aggiudicatario la cauzione definitiva ai sensi dell’art. 103 del D.Lgs. n.50/2016 e della lex specialis di gara, nonché ogni altro documento necessario alla stipula del contratto;</w:t>
      </w:r>
    </w:p>
    <w:p w:rsidR="00015D50" w:rsidRDefault="00015D50" w:rsidP="006D4751">
      <w:pPr>
        <w:pStyle w:val="Paragrafoelenco"/>
        <w:numPr>
          <w:ilvl w:val="1"/>
          <w:numId w:val="4"/>
        </w:numPr>
        <w:spacing w:after="120"/>
        <w:contextualSpacing/>
        <w:jc w:val="both"/>
        <w:rPr>
          <w:rFonts w:ascii="Verdana" w:hAnsi="Verdana"/>
          <w:sz w:val="22"/>
          <w:szCs w:val="22"/>
        </w:rPr>
      </w:pPr>
      <w:r w:rsidRPr="004730B2">
        <w:rPr>
          <w:rFonts w:ascii="Verdana" w:hAnsi="Verdana"/>
          <w:sz w:val="22"/>
          <w:szCs w:val="22"/>
        </w:rPr>
        <w:t>provveda a tutte le altre attività connesse alla presente aggiudicazione;</w:t>
      </w:r>
    </w:p>
    <w:p w:rsidR="00BE2120" w:rsidRDefault="00BE2120" w:rsidP="006D4751">
      <w:pPr>
        <w:pStyle w:val="Paragrafoelenco"/>
        <w:tabs>
          <w:tab w:val="left" w:pos="0"/>
        </w:tabs>
        <w:spacing w:after="120"/>
        <w:ind w:left="426"/>
        <w:contextualSpacing/>
        <w:jc w:val="both"/>
        <w:rPr>
          <w:rFonts w:ascii="Verdana" w:hAnsi="Verdana"/>
          <w:sz w:val="22"/>
          <w:szCs w:val="22"/>
        </w:rPr>
      </w:pPr>
    </w:p>
    <w:p w:rsidR="00BE2120" w:rsidRDefault="00BE2120" w:rsidP="006D4751">
      <w:pPr>
        <w:pStyle w:val="Paragrafoelenco"/>
        <w:numPr>
          <w:ilvl w:val="0"/>
          <w:numId w:val="7"/>
        </w:numPr>
        <w:tabs>
          <w:tab w:val="left" w:pos="0"/>
        </w:tabs>
        <w:spacing w:after="120"/>
        <w:ind w:left="709" w:hanging="709"/>
        <w:contextualSpacing/>
        <w:jc w:val="both"/>
        <w:rPr>
          <w:rFonts w:ascii="Verdana" w:hAnsi="Verdana"/>
          <w:sz w:val="22"/>
          <w:szCs w:val="22"/>
        </w:rPr>
      </w:pPr>
      <w:r w:rsidRPr="00BE5AAD">
        <w:rPr>
          <w:rFonts w:ascii="Verdana" w:hAnsi="Verdana"/>
          <w:sz w:val="22"/>
          <w:szCs w:val="22"/>
        </w:rPr>
        <w:t>di autorizzare la stipula contrattuale, previa verifica del possesso dei requisiti richiesti e spirato il termine dilatorio di cui all’art. 32, del D.Lgs. n. 50/2016, nel seguente modo:</w:t>
      </w:r>
    </w:p>
    <w:p w:rsidR="008161AC" w:rsidRPr="008161AC" w:rsidRDefault="008161AC" w:rsidP="008161AC">
      <w:pPr>
        <w:tabs>
          <w:tab w:val="left" w:pos="0"/>
        </w:tabs>
        <w:spacing w:after="120"/>
        <w:contextualSpacing/>
        <w:jc w:val="both"/>
        <w:rPr>
          <w:sz w:val="22"/>
          <w:szCs w:val="22"/>
        </w:rPr>
      </w:pPr>
    </w:p>
    <w:tbl>
      <w:tblPr>
        <w:tblW w:w="1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770"/>
      </w:tblGrid>
      <w:tr w:rsidR="00BE2120" w:rsidRPr="00D34175" w:rsidTr="00BE2120">
        <w:trPr>
          <w:trHeight w:val="397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2120" w:rsidRPr="00BE2120" w:rsidRDefault="00BE2120" w:rsidP="001A794E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rFonts w:eastAsia="Times New Roman" w:cs="Tahoma"/>
                <w:bCs/>
                <w:i/>
                <w:sz w:val="22"/>
                <w:szCs w:val="22"/>
              </w:rPr>
            </w:pPr>
            <w:r w:rsidRPr="00BE2120">
              <w:rPr>
                <w:rFonts w:eastAsia="Times New Roman" w:cs="Tahoma"/>
                <w:bCs/>
                <w:sz w:val="22"/>
                <w:szCs w:val="22"/>
              </w:rPr>
              <w:t>CIG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0" w:rsidRPr="00D34175" w:rsidRDefault="00BE2120" w:rsidP="001A794E">
            <w:pPr>
              <w:autoSpaceDE w:val="0"/>
              <w:autoSpaceDN w:val="0"/>
              <w:adjustRightInd w:val="0"/>
              <w:spacing w:line="240" w:lineRule="auto"/>
              <w:ind w:left="-40"/>
              <w:jc w:val="center"/>
              <w:rPr>
                <w:rFonts w:eastAsia="Times New Roman" w:cs="Tahoma"/>
                <w:b/>
                <w:bCs/>
                <w:sz w:val="20"/>
                <w:szCs w:val="22"/>
              </w:rPr>
            </w:pPr>
            <w:r w:rsidRPr="00445410">
              <w:rPr>
                <w:sz w:val="22"/>
                <w:szCs w:val="22"/>
              </w:rPr>
              <w:t>759165825E</w:t>
            </w:r>
          </w:p>
        </w:tc>
      </w:tr>
      <w:tr w:rsidR="00BE2120" w:rsidRPr="00D34175" w:rsidTr="00BE2120">
        <w:trPr>
          <w:trHeight w:val="397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E2120" w:rsidRPr="00D34175" w:rsidRDefault="00BE2120" w:rsidP="001A794E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rFonts w:eastAsia="Times New Roman" w:cs="Tahoma"/>
                <w:bCs/>
                <w:sz w:val="20"/>
                <w:szCs w:val="22"/>
              </w:rPr>
            </w:pPr>
            <w:r w:rsidRPr="00D34175">
              <w:rPr>
                <w:rFonts w:eastAsia="Times New Roman" w:cs="Tahoma"/>
                <w:bCs/>
                <w:sz w:val="20"/>
                <w:szCs w:val="22"/>
              </w:rPr>
              <w:t>Importo triennio IVA inclusa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0" w:rsidRPr="00D34175" w:rsidRDefault="008161AC" w:rsidP="00BE2120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rFonts w:eastAsia="Times New Roman" w:cs="Tahoma"/>
                <w:bCs/>
                <w:sz w:val="20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€ 207.037,56</w:t>
            </w:r>
          </w:p>
        </w:tc>
      </w:tr>
      <w:tr w:rsidR="00BE2120" w:rsidRPr="00D34175" w:rsidTr="00BE2120">
        <w:trPr>
          <w:trHeight w:val="397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E2120" w:rsidRPr="00D34175" w:rsidRDefault="00BE2120" w:rsidP="00BE2120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rFonts w:eastAsia="Times New Roman" w:cs="Tahoma"/>
                <w:bCs/>
                <w:sz w:val="20"/>
                <w:szCs w:val="22"/>
              </w:rPr>
            </w:pPr>
            <w:r w:rsidRPr="00D34175">
              <w:rPr>
                <w:rFonts w:eastAsia="Times New Roman" w:cs="Tahoma"/>
                <w:bCs/>
                <w:sz w:val="20"/>
                <w:szCs w:val="22"/>
              </w:rPr>
              <w:t>Importo triennio IVA esclusa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0" w:rsidRPr="00D34175" w:rsidRDefault="008161AC" w:rsidP="00BE2120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rFonts w:eastAsia="Times New Roman" w:cs="Tahoma"/>
                <w:bCs/>
                <w:sz w:val="20"/>
                <w:szCs w:val="22"/>
              </w:rPr>
            </w:pPr>
            <w:r w:rsidRPr="00D34175">
              <w:rPr>
                <w:rFonts w:eastAsia="Times New Roman" w:cs="Tahoma"/>
                <w:bCs/>
                <w:sz w:val="20"/>
                <w:szCs w:val="22"/>
              </w:rPr>
              <w:t xml:space="preserve">€ </w:t>
            </w:r>
            <w:r>
              <w:rPr>
                <w:rFonts w:eastAsia="Times New Roman" w:cs="Tahoma"/>
                <w:bCs/>
                <w:sz w:val="20"/>
                <w:szCs w:val="22"/>
              </w:rPr>
              <w:t>169.702,92</w:t>
            </w:r>
          </w:p>
        </w:tc>
      </w:tr>
      <w:tr w:rsidR="00BE2120" w:rsidRPr="00D34175" w:rsidTr="00BE2120">
        <w:trPr>
          <w:trHeight w:val="397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E2120" w:rsidRPr="00D34175" w:rsidRDefault="00BE2120" w:rsidP="00BE2120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rFonts w:eastAsia="Times New Roman" w:cs="Tahoma"/>
                <w:bCs/>
                <w:sz w:val="20"/>
                <w:szCs w:val="22"/>
              </w:rPr>
            </w:pPr>
            <w:r w:rsidRPr="00D34175">
              <w:rPr>
                <w:rFonts w:eastAsia="Times New Roman" w:cs="Tahoma"/>
                <w:bCs/>
                <w:sz w:val="20"/>
                <w:szCs w:val="22"/>
              </w:rPr>
              <w:t>IVA 22%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0" w:rsidRPr="00D34175" w:rsidRDefault="00BE2120" w:rsidP="007862F7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rFonts w:eastAsia="Times New Roman" w:cs="Tahoma"/>
                <w:bCs/>
                <w:sz w:val="20"/>
                <w:szCs w:val="22"/>
              </w:rPr>
            </w:pPr>
            <w:r w:rsidRPr="00D34175">
              <w:rPr>
                <w:rFonts w:eastAsia="Times New Roman" w:cs="Tahoma"/>
                <w:bCs/>
                <w:sz w:val="20"/>
                <w:szCs w:val="22"/>
              </w:rPr>
              <w:t xml:space="preserve">€ </w:t>
            </w:r>
            <w:r w:rsidR="008161AC">
              <w:rPr>
                <w:rFonts w:eastAsia="Times New Roman" w:cs="Tahoma"/>
                <w:bCs/>
                <w:sz w:val="20"/>
                <w:szCs w:val="22"/>
              </w:rPr>
              <w:t xml:space="preserve">  </w:t>
            </w:r>
            <w:r w:rsidR="007862F7">
              <w:rPr>
                <w:rFonts w:eastAsia="Times New Roman" w:cs="Tahoma"/>
                <w:bCs/>
                <w:sz w:val="20"/>
                <w:szCs w:val="22"/>
              </w:rPr>
              <w:t>37.334,64</w:t>
            </w:r>
          </w:p>
        </w:tc>
      </w:tr>
      <w:tr w:rsidR="00BE2120" w:rsidRPr="00D34175" w:rsidTr="00BE2120">
        <w:trPr>
          <w:trHeight w:val="567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2120" w:rsidRPr="00D34175" w:rsidRDefault="00BE2120" w:rsidP="00BE2120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rFonts w:eastAsia="Times New Roman" w:cs="Tahoma"/>
                <w:bCs/>
                <w:sz w:val="20"/>
                <w:szCs w:val="22"/>
              </w:rPr>
            </w:pPr>
            <w:r w:rsidRPr="00D34175">
              <w:rPr>
                <w:rFonts w:eastAsia="Times New Roman" w:cs="Tahoma"/>
                <w:bCs/>
                <w:sz w:val="20"/>
                <w:szCs w:val="22"/>
              </w:rPr>
              <w:t>Oneri per la sicurezza per un triennio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0" w:rsidRPr="00D34175" w:rsidRDefault="00BE2120" w:rsidP="008161AC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rFonts w:eastAsia="Times New Roman" w:cs="Tahoma"/>
                <w:bCs/>
                <w:sz w:val="20"/>
                <w:szCs w:val="22"/>
              </w:rPr>
            </w:pPr>
            <w:r w:rsidRPr="00D34175">
              <w:rPr>
                <w:rFonts w:eastAsia="Times New Roman" w:cs="Tahoma"/>
                <w:bCs/>
                <w:sz w:val="20"/>
                <w:szCs w:val="22"/>
              </w:rPr>
              <w:t xml:space="preserve">€  </w:t>
            </w:r>
            <w:r w:rsidR="008161AC">
              <w:rPr>
                <w:rFonts w:eastAsia="Times New Roman" w:cs="Tahoma"/>
                <w:bCs/>
                <w:sz w:val="20"/>
                <w:szCs w:val="22"/>
              </w:rPr>
              <w:t xml:space="preserve"> </w:t>
            </w:r>
            <w:r>
              <w:rPr>
                <w:rFonts w:eastAsia="Times New Roman" w:cs="Tahoma"/>
                <w:bCs/>
                <w:sz w:val="20"/>
                <w:szCs w:val="22"/>
              </w:rPr>
              <w:t xml:space="preserve"> </w:t>
            </w:r>
            <w:r w:rsidR="007862F7">
              <w:rPr>
                <w:rFonts w:eastAsia="Times New Roman" w:cs="Tahoma"/>
                <w:bCs/>
                <w:sz w:val="20"/>
                <w:szCs w:val="22"/>
              </w:rPr>
              <w:t>5.900,00</w:t>
            </w:r>
          </w:p>
        </w:tc>
      </w:tr>
    </w:tbl>
    <w:p w:rsidR="007862F7" w:rsidRDefault="007862F7" w:rsidP="00BE2120">
      <w:pPr>
        <w:spacing w:line="240" w:lineRule="auto"/>
        <w:ind w:left="426"/>
        <w:contextualSpacing/>
        <w:jc w:val="both"/>
        <w:rPr>
          <w:sz w:val="22"/>
          <w:szCs w:val="22"/>
        </w:rPr>
      </w:pPr>
    </w:p>
    <w:p w:rsidR="00BE2120" w:rsidRDefault="00BE2120" w:rsidP="006D4751">
      <w:pPr>
        <w:spacing w:line="240" w:lineRule="auto"/>
        <w:contextualSpacing/>
        <w:jc w:val="both"/>
        <w:rPr>
          <w:sz w:val="22"/>
          <w:szCs w:val="22"/>
        </w:rPr>
      </w:pPr>
      <w:r w:rsidRPr="00166246">
        <w:rPr>
          <w:sz w:val="22"/>
          <w:szCs w:val="22"/>
        </w:rPr>
        <w:t>Le suddette somme saranno imputate</w:t>
      </w:r>
      <w:r w:rsidR="007862F7">
        <w:rPr>
          <w:sz w:val="22"/>
          <w:szCs w:val="22"/>
        </w:rPr>
        <w:t xml:space="preserve"> </w:t>
      </w:r>
      <w:r w:rsidRPr="00166246">
        <w:rPr>
          <w:sz w:val="22"/>
          <w:szCs w:val="22"/>
        </w:rPr>
        <w:t>sul capitolo di natura obbligatoria 3U120508714 degli esercizi finanziari 201</w:t>
      </w:r>
      <w:r w:rsidR="007862F7">
        <w:rPr>
          <w:sz w:val="22"/>
          <w:szCs w:val="22"/>
        </w:rPr>
        <w:t>9</w:t>
      </w:r>
      <w:r w:rsidRPr="00166246">
        <w:rPr>
          <w:sz w:val="22"/>
          <w:szCs w:val="22"/>
        </w:rPr>
        <w:t>, 20</w:t>
      </w:r>
      <w:r w:rsidR="007862F7">
        <w:rPr>
          <w:sz w:val="22"/>
          <w:szCs w:val="22"/>
        </w:rPr>
        <w:t>20</w:t>
      </w:r>
      <w:r w:rsidRPr="00166246">
        <w:rPr>
          <w:sz w:val="22"/>
          <w:szCs w:val="22"/>
        </w:rPr>
        <w:t>, 202</w:t>
      </w:r>
      <w:r w:rsidR="007862F7">
        <w:rPr>
          <w:sz w:val="22"/>
          <w:szCs w:val="22"/>
        </w:rPr>
        <w:t>1</w:t>
      </w:r>
      <w:r w:rsidRPr="00166246">
        <w:rPr>
          <w:sz w:val="22"/>
          <w:szCs w:val="22"/>
        </w:rPr>
        <w:t xml:space="preserve"> e 202</w:t>
      </w:r>
      <w:r w:rsidR="007862F7">
        <w:rPr>
          <w:sz w:val="22"/>
          <w:szCs w:val="22"/>
        </w:rPr>
        <w:t>2</w:t>
      </w:r>
      <w:r w:rsidRPr="00166246">
        <w:rPr>
          <w:sz w:val="22"/>
          <w:szCs w:val="22"/>
        </w:rPr>
        <w:t xml:space="preserve"> e ripartit</w:t>
      </w:r>
      <w:r w:rsidR="006D4751">
        <w:rPr>
          <w:sz w:val="22"/>
          <w:szCs w:val="22"/>
        </w:rPr>
        <w:t>i</w:t>
      </w:r>
      <w:r w:rsidRPr="00166246">
        <w:rPr>
          <w:sz w:val="22"/>
          <w:szCs w:val="22"/>
        </w:rPr>
        <w:t xml:space="preserve"> come segue:</w:t>
      </w:r>
    </w:p>
    <w:p w:rsidR="008161AC" w:rsidRPr="00166246" w:rsidRDefault="008161AC" w:rsidP="008161AC">
      <w:pPr>
        <w:spacing w:line="240" w:lineRule="auto"/>
        <w:ind w:left="709"/>
        <w:contextualSpacing/>
        <w:jc w:val="both"/>
        <w:rPr>
          <w:sz w:val="22"/>
          <w:szCs w:val="22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180"/>
        <w:gridCol w:w="2380"/>
        <w:gridCol w:w="2320"/>
      </w:tblGrid>
      <w:tr w:rsidR="008161AC" w:rsidRPr="008161AC" w:rsidTr="008161AC">
        <w:trPr>
          <w:trHeight w:val="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61AC" w:rsidRPr="008161AC" w:rsidRDefault="008161AC" w:rsidP="008161A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61AC" w:rsidRPr="008161AC" w:rsidRDefault="008161AC" w:rsidP="008161A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61AC" w:rsidRPr="008161AC" w:rsidRDefault="008161AC" w:rsidP="008161A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IVA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61AC" w:rsidRPr="008161AC" w:rsidRDefault="008161AC" w:rsidP="008161A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TOTALE</w:t>
            </w:r>
          </w:p>
        </w:tc>
      </w:tr>
      <w:tr w:rsidR="008161AC" w:rsidRPr="008161AC" w:rsidTr="008161AC">
        <w:trPr>
          <w:trHeight w:val="37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2019 - 10 mesi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€ 47.139,70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€ 10.370,73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€ 57.510,43</w:t>
            </w:r>
          </w:p>
        </w:tc>
      </w:tr>
      <w:tr w:rsidR="008161AC" w:rsidRPr="008161AC" w:rsidTr="008161AC">
        <w:trPr>
          <w:trHeight w:val="37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2020 – 12 mesi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€ 56.567,64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€ 12.444,88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€ 69.012,52</w:t>
            </w:r>
          </w:p>
        </w:tc>
      </w:tr>
      <w:tr w:rsidR="008161AC" w:rsidRPr="008161AC" w:rsidTr="008161AC">
        <w:trPr>
          <w:trHeight w:val="37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2021 - 12 mesi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€ 56.567,64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€ 12.444,88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€ 69.012,52</w:t>
            </w:r>
          </w:p>
        </w:tc>
      </w:tr>
      <w:tr w:rsidR="008161AC" w:rsidRPr="008161AC" w:rsidTr="008161AC">
        <w:trPr>
          <w:trHeight w:val="37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2022 - 2 mesi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€ 9.427,94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€ 2.074,15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€ 11.502,09</w:t>
            </w:r>
          </w:p>
        </w:tc>
      </w:tr>
      <w:tr w:rsidR="008161AC" w:rsidRPr="008161AC" w:rsidTr="008161AC">
        <w:trPr>
          <w:trHeight w:val="37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€ 169.702,92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€ 37.334,64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AC" w:rsidRPr="008161AC" w:rsidRDefault="008161AC" w:rsidP="008161A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61AC">
              <w:rPr>
                <w:rFonts w:eastAsia="Times New Roman"/>
                <w:color w:val="000000"/>
                <w:sz w:val="22"/>
                <w:szCs w:val="22"/>
              </w:rPr>
              <w:t>€ 207.037,56</w:t>
            </w:r>
          </w:p>
        </w:tc>
      </w:tr>
    </w:tbl>
    <w:p w:rsidR="00BE2120" w:rsidRDefault="00BE2120" w:rsidP="00BE2120">
      <w:pPr>
        <w:spacing w:line="240" w:lineRule="auto"/>
        <w:ind w:right="284"/>
        <w:jc w:val="both"/>
        <w:rPr>
          <w:rFonts w:eastAsia="Times New Roman"/>
          <w:sz w:val="22"/>
          <w:szCs w:val="22"/>
        </w:rPr>
      </w:pPr>
    </w:p>
    <w:p w:rsidR="00BE2120" w:rsidRPr="00BE5AAD" w:rsidRDefault="00BE2120" w:rsidP="00BE2120">
      <w:pPr>
        <w:tabs>
          <w:tab w:val="left" w:pos="915"/>
        </w:tabs>
        <w:spacing w:line="240" w:lineRule="auto"/>
        <w:ind w:right="284"/>
        <w:jc w:val="both"/>
        <w:rPr>
          <w:sz w:val="22"/>
          <w:szCs w:val="22"/>
        </w:rPr>
      </w:pPr>
      <w:r w:rsidRPr="00BE5AAD">
        <w:rPr>
          <w:sz w:val="22"/>
          <w:szCs w:val="22"/>
        </w:rPr>
        <w:t>La somma per gli oneri della sicurezza per l’eliminazione dei rischi di interferenza</w:t>
      </w:r>
      <w:r w:rsidR="007862F7">
        <w:rPr>
          <w:sz w:val="22"/>
          <w:szCs w:val="22"/>
        </w:rPr>
        <w:t xml:space="preserve"> pari </w:t>
      </w:r>
      <w:r w:rsidR="007862F7" w:rsidRPr="007862F7">
        <w:rPr>
          <w:sz w:val="22"/>
          <w:szCs w:val="22"/>
        </w:rPr>
        <w:t xml:space="preserve">a </w:t>
      </w:r>
      <w:r w:rsidR="007862F7" w:rsidRPr="007862F7">
        <w:rPr>
          <w:rFonts w:eastAsia="Times New Roman" w:cs="Tahoma"/>
          <w:bCs/>
          <w:sz w:val="22"/>
          <w:szCs w:val="22"/>
        </w:rPr>
        <w:t>€ 4.198,86</w:t>
      </w:r>
      <w:r w:rsidR="007862F7">
        <w:rPr>
          <w:rFonts w:eastAsia="Times New Roman" w:cs="Tahoma"/>
          <w:bCs/>
          <w:i/>
          <w:sz w:val="22"/>
          <w:szCs w:val="22"/>
        </w:rPr>
        <w:t xml:space="preserve"> </w:t>
      </w:r>
      <w:r w:rsidR="007862F7" w:rsidRPr="008161AC">
        <w:rPr>
          <w:rFonts w:eastAsia="Times New Roman" w:cs="Tahoma"/>
          <w:bCs/>
          <w:sz w:val="22"/>
          <w:szCs w:val="22"/>
        </w:rPr>
        <w:t>sar</w:t>
      </w:r>
      <w:r w:rsidRPr="008161AC">
        <w:rPr>
          <w:sz w:val="22"/>
          <w:szCs w:val="22"/>
        </w:rPr>
        <w:t xml:space="preserve">à </w:t>
      </w:r>
      <w:r w:rsidRPr="00BE5AAD">
        <w:rPr>
          <w:sz w:val="22"/>
          <w:szCs w:val="22"/>
        </w:rPr>
        <w:t>imputata al cap. 5U2112002/02 dell’esercizio finanziario 201</w:t>
      </w:r>
      <w:r w:rsidR="007862F7">
        <w:rPr>
          <w:sz w:val="22"/>
          <w:szCs w:val="22"/>
        </w:rPr>
        <w:t>9.</w:t>
      </w:r>
    </w:p>
    <w:p w:rsidR="00BE2120" w:rsidRPr="00BE5AAD" w:rsidRDefault="00BE2120" w:rsidP="00BE2120">
      <w:pPr>
        <w:tabs>
          <w:tab w:val="left" w:pos="0"/>
        </w:tabs>
        <w:contextualSpacing/>
        <w:jc w:val="both"/>
        <w:rPr>
          <w:rFonts w:eastAsia="Times New Roman"/>
          <w:sz w:val="22"/>
          <w:szCs w:val="22"/>
        </w:rPr>
      </w:pPr>
    </w:p>
    <w:p w:rsidR="00BE2120" w:rsidRPr="00BE5AAD" w:rsidRDefault="00BE2120" w:rsidP="00BE2120">
      <w:pPr>
        <w:tabs>
          <w:tab w:val="left" w:pos="364"/>
        </w:tabs>
        <w:ind w:left="364"/>
        <w:contextualSpacing/>
        <w:jc w:val="both"/>
        <w:rPr>
          <w:sz w:val="22"/>
          <w:szCs w:val="22"/>
        </w:rPr>
      </w:pPr>
    </w:p>
    <w:p w:rsidR="00BE2120" w:rsidRPr="00BE5AAD" w:rsidRDefault="008161AC" w:rsidP="00BE2120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 w:rsidR="00BE2120" w:rsidRPr="00BE5AAD">
        <w:rPr>
          <w:sz w:val="22"/>
          <w:szCs w:val="22"/>
        </w:rPr>
        <w:t>incenzo Caridi</w:t>
      </w:r>
    </w:p>
    <w:p w:rsidR="00BE2120" w:rsidRPr="00BE5AAD" w:rsidRDefault="00BE2120" w:rsidP="00BE2120">
      <w:pPr>
        <w:ind w:left="3969"/>
        <w:jc w:val="center"/>
        <w:rPr>
          <w:sz w:val="22"/>
          <w:szCs w:val="22"/>
        </w:rPr>
      </w:pPr>
    </w:p>
    <w:sectPr w:rsidR="00BE2120" w:rsidRPr="00BE5AAD" w:rsidSect="00001D00">
      <w:headerReference w:type="default" r:id="rId7"/>
      <w:footerReference w:type="default" r:id="rId8"/>
      <w:footerReference w:type="first" r:id="rId9"/>
      <w:pgSz w:w="11906" w:h="16838"/>
      <w:pgMar w:top="-1276" w:right="1134" w:bottom="1134" w:left="1701" w:header="573" w:footer="6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77" w:rsidRDefault="006C6F77">
      <w:pPr>
        <w:spacing w:line="240" w:lineRule="auto"/>
      </w:pPr>
      <w:r>
        <w:separator/>
      </w:r>
    </w:p>
  </w:endnote>
  <w:endnote w:type="continuationSeparator" w:id="0">
    <w:p w:rsidR="006C6F77" w:rsidRDefault="006C6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21" w:rsidRPr="00001D00" w:rsidRDefault="00A362D8" w:rsidP="00001D00">
    <w:pPr>
      <w:pStyle w:val="Pidipagina"/>
      <w:jc w:val="center"/>
      <w:rPr>
        <w:sz w:val="18"/>
        <w:szCs w:val="20"/>
      </w:rPr>
    </w:pPr>
    <w:r w:rsidRPr="00001D00">
      <w:rPr>
        <w:sz w:val="18"/>
        <w:szCs w:val="20"/>
      </w:rPr>
      <w:fldChar w:fldCharType="begin"/>
    </w:r>
    <w:r w:rsidRPr="00001D00">
      <w:rPr>
        <w:sz w:val="18"/>
        <w:szCs w:val="20"/>
      </w:rPr>
      <w:instrText>PAGE   \* MERGEFORMAT</w:instrText>
    </w:r>
    <w:r w:rsidRPr="00001D00">
      <w:rPr>
        <w:sz w:val="18"/>
        <w:szCs w:val="20"/>
      </w:rPr>
      <w:fldChar w:fldCharType="separate"/>
    </w:r>
    <w:r w:rsidR="00670261">
      <w:rPr>
        <w:noProof/>
        <w:sz w:val="18"/>
        <w:szCs w:val="20"/>
      </w:rPr>
      <w:t>2</w:t>
    </w:r>
    <w:r w:rsidRPr="00001D00">
      <w:rPr>
        <w:sz w:val="18"/>
        <w:szCs w:val="20"/>
      </w:rPr>
      <w:fldChar w:fldCharType="end"/>
    </w:r>
  </w:p>
  <w:p w:rsidR="00EE36C1" w:rsidRDefault="00A362D8" w:rsidP="00432521">
    <w:pPr>
      <w:pStyle w:val="Pidipagina"/>
      <w:tabs>
        <w:tab w:val="clear" w:pos="8306"/>
        <w:tab w:val="left" w:pos="4320"/>
        <w:tab w:val="left" w:pos="5040"/>
      </w:tabs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C1" w:rsidRPr="00001D00" w:rsidRDefault="00A362D8">
    <w:pPr>
      <w:pStyle w:val="Pidipagina"/>
      <w:jc w:val="center"/>
      <w:rPr>
        <w:sz w:val="18"/>
      </w:rPr>
    </w:pPr>
    <w:r w:rsidRPr="00001D00">
      <w:rPr>
        <w:sz w:val="18"/>
      </w:rPr>
      <w:t>1</w:t>
    </w:r>
  </w:p>
  <w:p w:rsidR="00EF54D4" w:rsidRDefault="006C6F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77" w:rsidRDefault="006C6F77">
      <w:pPr>
        <w:spacing w:line="240" w:lineRule="auto"/>
      </w:pPr>
      <w:r>
        <w:separator/>
      </w:r>
    </w:p>
  </w:footnote>
  <w:footnote w:type="continuationSeparator" w:id="0">
    <w:p w:rsidR="006C6F77" w:rsidRDefault="006C6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D4" w:rsidRPr="00747243" w:rsidRDefault="006C6F77" w:rsidP="00747243">
    <w:pPr>
      <w:pStyle w:val="INPS052headint"/>
      <w:tabs>
        <w:tab w:val="left" w:pos="1695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FED"/>
      </v:shape>
    </w:pict>
  </w:numPicBullet>
  <w:abstractNum w:abstractNumId="0" w15:restartNumberingAfterBreak="0">
    <w:nsid w:val="435E2EC8"/>
    <w:multiLevelType w:val="hybridMultilevel"/>
    <w:tmpl w:val="C73CEB8C"/>
    <w:lvl w:ilvl="0" w:tplc="0410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356192"/>
    <w:multiLevelType w:val="hybridMultilevel"/>
    <w:tmpl w:val="93ACB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76C2"/>
    <w:multiLevelType w:val="hybridMultilevel"/>
    <w:tmpl w:val="08A85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7500"/>
    <w:multiLevelType w:val="hybridMultilevel"/>
    <w:tmpl w:val="DFFA0D2E"/>
    <w:lvl w:ilvl="0" w:tplc="0410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54D46"/>
    <w:multiLevelType w:val="hybridMultilevel"/>
    <w:tmpl w:val="7B1ED1E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8260DE"/>
    <w:multiLevelType w:val="hybridMultilevel"/>
    <w:tmpl w:val="D2EC5A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6205C"/>
    <w:multiLevelType w:val="hybridMultilevel"/>
    <w:tmpl w:val="1DDA859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10"/>
    <w:rsid w:val="00004171"/>
    <w:rsid w:val="00015D50"/>
    <w:rsid w:val="00102085"/>
    <w:rsid w:val="00196C4F"/>
    <w:rsid w:val="002E7BBD"/>
    <w:rsid w:val="00445410"/>
    <w:rsid w:val="004966E6"/>
    <w:rsid w:val="0053108F"/>
    <w:rsid w:val="00670261"/>
    <w:rsid w:val="006C6F77"/>
    <w:rsid w:val="006D4751"/>
    <w:rsid w:val="007760B6"/>
    <w:rsid w:val="007862F7"/>
    <w:rsid w:val="007E38AD"/>
    <w:rsid w:val="0080333C"/>
    <w:rsid w:val="008161AC"/>
    <w:rsid w:val="00A2541A"/>
    <w:rsid w:val="00A362D8"/>
    <w:rsid w:val="00BE2120"/>
    <w:rsid w:val="00E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984D"/>
  <w15:docId w15:val="{CD056A25-9B4E-485C-8CC4-1D0CC932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410"/>
    <w:pPr>
      <w:spacing w:after="0" w:line="288" w:lineRule="exact"/>
    </w:pPr>
    <w:rPr>
      <w:rFonts w:ascii="Verdana" w:eastAsia="Times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4541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410"/>
    <w:rPr>
      <w:rFonts w:ascii="Verdana" w:eastAsia="Times" w:hAnsi="Verdana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454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410"/>
    <w:rPr>
      <w:rFonts w:ascii="Verdana" w:eastAsia="Times" w:hAnsi="Verdana" w:cs="Times New Roman"/>
      <w:sz w:val="24"/>
      <w:szCs w:val="24"/>
      <w:lang w:eastAsia="it-IT"/>
    </w:rPr>
  </w:style>
  <w:style w:type="paragraph" w:customStyle="1" w:styleId="INPS052headufficio">
    <w:name w:val="INPS052_head_ufficio"/>
    <w:basedOn w:val="Normale"/>
    <w:rsid w:val="00445410"/>
    <w:pPr>
      <w:spacing w:line="192" w:lineRule="exact"/>
    </w:pPr>
    <w:rPr>
      <w:sz w:val="16"/>
      <w:szCs w:val="16"/>
    </w:rPr>
  </w:style>
  <w:style w:type="paragraph" w:customStyle="1" w:styleId="INPS052headint">
    <w:name w:val="INPS052_head_int"/>
    <w:basedOn w:val="Normale"/>
    <w:rsid w:val="00445410"/>
    <w:pPr>
      <w:spacing w:line="192" w:lineRule="exact"/>
      <w:ind w:left="-113"/>
    </w:pPr>
  </w:style>
  <w:style w:type="paragraph" w:styleId="Paragrafoelenco">
    <w:name w:val="List Paragraph"/>
    <w:basedOn w:val="Normale"/>
    <w:uiPriority w:val="34"/>
    <w:qFormat/>
    <w:rsid w:val="00445410"/>
    <w:pPr>
      <w:spacing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Oggetto">
    <w:name w:val="Oggetto"/>
    <w:basedOn w:val="Normale"/>
    <w:next w:val="Normale"/>
    <w:uiPriority w:val="99"/>
    <w:rsid w:val="00445410"/>
    <w:pPr>
      <w:spacing w:before="480" w:after="240" w:line="240" w:lineRule="auto"/>
      <w:jc w:val="both"/>
    </w:pPr>
    <w:rPr>
      <w:rFonts w:ascii="Times New Roman" w:eastAsia="Times New Roman" w:hAnsi="Times New Roman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BBD"/>
    <w:rPr>
      <w:rFonts w:ascii="Tahoma" w:eastAsia="Times" w:hAnsi="Tahoma" w:cs="Tahoma"/>
      <w:sz w:val="16"/>
      <w:szCs w:val="16"/>
      <w:lang w:eastAsia="it-IT"/>
    </w:rPr>
  </w:style>
  <w:style w:type="paragraph" w:customStyle="1" w:styleId="CarattereCarattereCarattere">
    <w:name w:val="Carattere Carattere Carattere"/>
    <w:basedOn w:val="Normale"/>
    <w:rsid w:val="00EB35F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Tiralosi Paolo</dc:creator>
  <cp:keywords/>
  <dc:description/>
  <cp:lastModifiedBy>AutoBVT</cp:lastModifiedBy>
  <cp:revision>8</cp:revision>
  <cp:lastPrinted>2019-01-15T10:03:00Z</cp:lastPrinted>
  <dcterms:created xsi:type="dcterms:W3CDTF">2019-01-15T08:34:00Z</dcterms:created>
  <dcterms:modified xsi:type="dcterms:W3CDTF">2019-01-25T11:59:00Z</dcterms:modified>
</cp:coreProperties>
</file>