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184949">
        <w:rPr>
          <w:rFonts w:ascii="Arial" w:hAnsi="Arial" w:cs="Arial"/>
          <w:b/>
          <w:sz w:val="15"/>
          <w:szCs w:val="15"/>
          <w:highlight w:val="yellow"/>
        </w:rPr>
        <w:t>PROCEDURA NEGOZIATA SENZA PREVIA PUBBLICAZIONE DI BANDO PER APPALTO DI SOLA ESECUZI</w:t>
      </w:r>
      <w:r w:rsidR="002F3487" w:rsidRPr="00184949">
        <w:rPr>
          <w:rFonts w:ascii="Arial" w:hAnsi="Arial" w:cs="Arial"/>
          <w:b/>
          <w:sz w:val="15"/>
          <w:szCs w:val="15"/>
          <w:highlight w:val="yellow"/>
        </w:rPr>
        <w:t xml:space="preserve">ONE DI LAVORI </w:t>
      </w:r>
      <w:r w:rsidRPr="00184949">
        <w:rPr>
          <w:rFonts w:ascii="Arial" w:hAnsi="Arial" w:cs="Arial"/>
          <w:b/>
          <w:sz w:val="15"/>
          <w:szCs w:val="15"/>
          <w:highlight w:val="yellow"/>
        </w:rPr>
        <w:t>PER “</w:t>
      </w:r>
      <w:r w:rsidR="00184949" w:rsidRPr="00184949">
        <w:rPr>
          <w:rFonts w:ascii="Arial" w:hAnsi="Arial" w:cs="Arial"/>
          <w:b/>
          <w:sz w:val="15"/>
          <w:szCs w:val="15"/>
          <w:highlight w:val="yellow"/>
        </w:rPr>
        <w:t>ACCORDO QUADRO PER LAVORI DI MANUTENZIONE DEGLI INFISSI ESTERNI DEGLI EDIFICI SITI IN ORISTANO DELLA PREFETTURA, QUESTURA E POLIZIA STRADALE E DELLA DIREZIONE PROVINCIALE INPS</w:t>
      </w:r>
      <w:r w:rsidR="002F3487" w:rsidRPr="00184949">
        <w:rPr>
          <w:rFonts w:ascii="Arial" w:hAnsi="Arial" w:cs="Arial"/>
          <w:b/>
          <w:sz w:val="15"/>
          <w:szCs w:val="15"/>
          <w:highlight w:val="yellow"/>
        </w:rPr>
        <w:t>”</w:t>
      </w:r>
      <w:r w:rsidRPr="00184949">
        <w:rPr>
          <w:rFonts w:ascii="Arial" w:hAnsi="Arial" w:cs="Arial"/>
          <w:b/>
          <w:sz w:val="15"/>
          <w:szCs w:val="15"/>
          <w:highlight w:val="yellow"/>
        </w:rPr>
        <w:t xml:space="preserve">, DA AFFIDARSI A </w:t>
      </w:r>
      <w:r w:rsidR="002F3487" w:rsidRPr="00184949">
        <w:rPr>
          <w:rFonts w:ascii="Arial" w:hAnsi="Arial" w:cs="Arial"/>
          <w:b/>
          <w:sz w:val="15"/>
          <w:szCs w:val="15"/>
          <w:highlight w:val="yellow"/>
        </w:rPr>
        <w:t>MISURA</w:t>
      </w:r>
      <w:r w:rsidRPr="00184949">
        <w:rPr>
          <w:rFonts w:ascii="Arial" w:hAnsi="Arial" w:cs="Arial"/>
          <w:b/>
          <w:sz w:val="15"/>
          <w:szCs w:val="15"/>
          <w:highlight w:val="yellow"/>
        </w:rPr>
        <w:t xml:space="preserve"> MEDIANTE OFFERTA </w:t>
      </w:r>
      <w:r w:rsidR="00184949" w:rsidRPr="00184949">
        <w:rPr>
          <w:rFonts w:ascii="Arial" w:hAnsi="Arial" w:cs="Arial"/>
          <w:b/>
          <w:sz w:val="15"/>
          <w:szCs w:val="15"/>
          <w:highlight w:val="yellow"/>
        </w:rPr>
        <w:t>AL MASSIMO RIBASSO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B26E1D">
              <w:rPr>
                <w:rFonts w:ascii="Arial" w:hAnsi="Arial" w:cs="Arial"/>
                <w:sz w:val="14"/>
                <w:szCs w:val="14"/>
                <w:highlight w:val="yellow"/>
              </w:rPr>
              <w:t>PROCEDURA NEGOZIATA SENZA PREVIA PUBBLICAZIONE DI BANDO PER APPALTO DI SOLA ESECUZIONE DI LAVORI PER “</w:t>
            </w:r>
            <w:r w:rsidR="00184949" w:rsidRPr="00184949">
              <w:rPr>
                <w:rFonts w:ascii="Arial" w:hAnsi="Arial" w:cs="Arial"/>
                <w:sz w:val="14"/>
                <w:szCs w:val="14"/>
                <w:highlight w:val="yellow"/>
              </w:rPr>
              <w:t>ACCORDO QUADRO PER LAVORI DI MANUTENZIONE DEGLI INFISSI ESTERNI DEGLI EDIFICI SITI IN ORISTANO DELLA PREFETTURA, QUESTURA E POLIZIA STRADALE E DELLA DIREZIONE PROVINCIALE INPS</w:t>
            </w:r>
            <w:r w:rsidRPr="00184949">
              <w:rPr>
                <w:rFonts w:ascii="Arial" w:hAnsi="Arial" w:cs="Arial"/>
                <w:sz w:val="14"/>
                <w:szCs w:val="14"/>
                <w:highlight w:val="yellow"/>
              </w:rPr>
              <w:t xml:space="preserve">”, </w:t>
            </w:r>
            <w:r w:rsidRPr="00B33AF3">
              <w:rPr>
                <w:rFonts w:ascii="Arial" w:hAnsi="Arial" w:cs="Arial"/>
                <w:sz w:val="14"/>
                <w:szCs w:val="14"/>
                <w:highlight w:val="yellow"/>
              </w:rPr>
              <w:t>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84949">
            <w:pPr>
              <w:rPr>
                <w:color w:val="000000"/>
              </w:rPr>
            </w:pPr>
            <w:r w:rsidRPr="00184949">
              <w:rPr>
                <w:rFonts w:ascii="Arial" w:hAnsi="Arial" w:cs="Arial"/>
                <w:color w:val="000000"/>
                <w:sz w:val="14"/>
                <w:szCs w:val="14"/>
                <w:highlight w:val="yellow"/>
              </w:rPr>
              <w:t>770454145D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18494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184949">
              <w:rPr>
                <w:rFonts w:ascii="Arial" w:hAnsi="Arial" w:cs="Arial"/>
                <w:b/>
                <w:color w:val="000000"/>
                <w:w w:val="0"/>
                <w:sz w:val="14"/>
                <w:szCs w:val="14"/>
                <w:highlight w:val="yellow"/>
              </w:rPr>
              <w:t xml:space="preserve">Nel presente appalto è richiesto il possesso </w:t>
            </w:r>
            <w:r w:rsidR="00184949" w:rsidRPr="00184949">
              <w:rPr>
                <w:rFonts w:ascii="Arial" w:hAnsi="Arial" w:cs="Arial"/>
                <w:b/>
                <w:color w:val="000000"/>
                <w:w w:val="0"/>
                <w:sz w:val="14"/>
                <w:szCs w:val="14"/>
                <w:highlight w:val="yellow"/>
              </w:rPr>
              <w:t xml:space="preserve">dell’attestazione SOA OS 6 –classifica I^ o </w:t>
            </w:r>
            <w:r w:rsidR="00184949">
              <w:rPr>
                <w:rFonts w:ascii="Arial" w:hAnsi="Arial" w:cs="Arial"/>
                <w:b/>
                <w:color w:val="000000"/>
                <w:w w:val="0"/>
                <w:sz w:val="14"/>
                <w:szCs w:val="14"/>
                <w:highlight w:val="yellow"/>
              </w:rPr>
              <w:t>la dimostrazione de</w:t>
            </w:r>
            <w:r w:rsidR="00184949" w:rsidRPr="00184949">
              <w:rPr>
                <w:rFonts w:ascii="Arial" w:hAnsi="Arial" w:cs="Arial"/>
                <w:b/>
                <w:color w:val="000000"/>
                <w:w w:val="0"/>
                <w:sz w:val="14"/>
                <w:szCs w:val="14"/>
                <w:highlight w:val="yellow"/>
              </w:rPr>
              <w:t>l possesso dei requisiti</w:t>
            </w:r>
            <w:r w:rsidR="00184949">
              <w:rPr>
                <w:rFonts w:ascii="Arial" w:hAnsi="Arial" w:cs="Arial"/>
                <w:b/>
                <w:color w:val="000000"/>
                <w:w w:val="0"/>
                <w:sz w:val="14"/>
                <w:szCs w:val="14"/>
                <w:highlight w:val="yellow"/>
              </w:rPr>
              <w:t xml:space="preserve"> tecnici ai sensi</w:t>
            </w:r>
            <w:r w:rsidR="00184949" w:rsidRPr="00184949">
              <w:rPr>
                <w:rFonts w:ascii="Arial" w:hAnsi="Arial" w:cs="Arial"/>
                <w:b/>
                <w:color w:val="000000"/>
                <w:w w:val="0"/>
                <w:sz w:val="14"/>
                <w:szCs w:val="14"/>
                <w:highlight w:val="yellow"/>
              </w:rPr>
              <w:t xml:space="preserve"> dell’art. 90 del DPR 207/10 per l’ese</w:t>
            </w:r>
            <w:r w:rsidR="00184949">
              <w:rPr>
                <w:rFonts w:ascii="Arial" w:hAnsi="Arial" w:cs="Arial"/>
                <w:b/>
                <w:color w:val="000000"/>
                <w:w w:val="0"/>
                <w:sz w:val="14"/>
                <w:szCs w:val="14"/>
                <w:highlight w:val="yellow"/>
              </w:rPr>
              <w:t>c</w:t>
            </w:r>
            <w:r w:rsidR="00184949" w:rsidRPr="00184949">
              <w:rPr>
                <w:rFonts w:ascii="Arial" w:hAnsi="Arial" w:cs="Arial"/>
                <w:b/>
                <w:color w:val="000000"/>
                <w:w w:val="0"/>
                <w:sz w:val="14"/>
                <w:szCs w:val="14"/>
                <w:highlight w:val="yellow"/>
              </w:rPr>
              <w:t>uzione dei lavori in qualifica OS 6 per l’importo di € 106.550,00</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w:t>
            </w:r>
            <w:r w:rsidRPr="003A443E">
              <w:rPr>
                <w:rFonts w:ascii="Arial" w:hAnsi="Arial" w:cs="Arial"/>
                <w:color w:val="000000"/>
                <w:sz w:val="14"/>
                <w:szCs w:val="14"/>
              </w:rPr>
              <w:lastRenderedPageBreak/>
              <w:t xml:space="preserve">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lastRenderedPageBreak/>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B33AF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Pr>
          <w:rFonts w:ascii="Arial" w:hAnsi="Arial" w:cs="Arial"/>
          <w:b/>
          <w:color w:val="000000"/>
          <w:sz w:val="15"/>
          <w:szCs w:val="15"/>
          <w:highlight w:val="yellow"/>
        </w:rPr>
        <w:t>speciali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Pr>
          <w:rFonts w:ascii="Arial" w:hAnsi="Arial" w:cs="Arial"/>
          <w:b/>
          <w:color w:val="000000"/>
          <w:sz w:val="15"/>
          <w:szCs w:val="15"/>
          <w:highlight w:val="yellow"/>
        </w:rPr>
        <w:t>OS</w:t>
      </w:r>
      <w:r w:rsidR="00184949">
        <w:rPr>
          <w:rFonts w:ascii="Arial" w:hAnsi="Arial" w:cs="Arial"/>
          <w:b/>
          <w:color w:val="000000"/>
          <w:sz w:val="15"/>
          <w:szCs w:val="15"/>
          <w:highlight w:val="yellow"/>
        </w:rPr>
        <w:t>6</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184949"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Symbol" w:eastAsia="Symbol" w:hAnsi="Symbol" w:cs="Symbol"/>
          <w:caps/>
          <w:szCs w:val="28"/>
          <w:highlight w:val="yellow"/>
        </w:rPr>
      </w:pPr>
      <w:r w:rsidRPr="00EC039D">
        <w:rPr>
          <w:rFonts w:ascii="Arial" w:hAnsi="Arial" w:cs="Arial"/>
          <w:b/>
          <w:w w:val="0"/>
          <w:sz w:val="15"/>
          <w:szCs w:val="15"/>
          <w:highlight w:val="yellow"/>
        </w:rPr>
        <w:t xml:space="preserve">Coloro in possesso della attestazione di qualificazione </w:t>
      </w:r>
      <w:r w:rsidR="00184949">
        <w:rPr>
          <w:rFonts w:ascii="Arial" w:hAnsi="Arial" w:cs="Arial"/>
          <w:b/>
          <w:w w:val="0"/>
          <w:sz w:val="15"/>
          <w:szCs w:val="15"/>
          <w:highlight w:val="yellow"/>
        </w:rPr>
        <w:t xml:space="preserve">SOA </w:t>
      </w:r>
      <w:r w:rsidRPr="00EC039D">
        <w:rPr>
          <w:rFonts w:ascii="Arial" w:hAnsi="Arial" w:cs="Arial"/>
          <w:b/>
          <w:w w:val="0"/>
          <w:sz w:val="15"/>
          <w:szCs w:val="15"/>
          <w:highlight w:val="yellow"/>
        </w:rPr>
        <w:t>nella categoria O</w:t>
      </w:r>
      <w:r w:rsidR="00184949">
        <w:rPr>
          <w:rFonts w:ascii="Arial" w:hAnsi="Arial" w:cs="Arial"/>
          <w:b/>
          <w:w w:val="0"/>
          <w:sz w:val="15"/>
          <w:szCs w:val="15"/>
          <w:highlight w:val="yellow"/>
        </w:rPr>
        <w:t>S6</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p>
    <w:p w:rsidR="00184949" w:rsidRPr="00184949" w:rsidRDefault="0018494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highlight w:val="yellow"/>
        </w:rPr>
      </w:pPr>
      <w:r w:rsidRPr="00184949">
        <w:rPr>
          <w:rFonts w:ascii="Arial" w:hAnsi="Arial" w:cs="Arial"/>
          <w:b/>
          <w:w w:val="0"/>
          <w:sz w:val="15"/>
          <w:szCs w:val="15"/>
          <w:highlight w:val="yellow"/>
        </w:rPr>
        <w:t>Nel presente appalto è richiesto il possesso dell’attestazione SOA OS 6 –classifica I^ o la dimostrazione del possesso dei requisiti tecnici ai sensi dell’art. 90 del DPR 207/10 per l’esecuzione dei lavori in qualifica OS 6 per l’importo di € 106.550,00</w:t>
      </w:r>
    </w:p>
    <w:p w:rsidR="00184949" w:rsidRDefault="0018494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184949"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xml:space="preserve">– </w:t>
      </w:r>
    </w:p>
    <w:p w:rsidR="003E55D0" w:rsidRDefault="00184949"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r w:rsidRPr="00184949">
        <w:rPr>
          <w:rFonts w:ascii="Arial" w:hAnsi="Arial" w:cs="Arial"/>
          <w:b/>
          <w:color w:val="000000"/>
          <w:w w:val="0"/>
          <w:sz w:val="15"/>
          <w:szCs w:val="15"/>
          <w:highlight w:val="yellow"/>
        </w:rPr>
        <w:t>Nel presente appalto è richiesto il possesso dell’attestazione SOA OS 6 –classifica I^ o la dimostrazione del possesso dei requisiti tecnici ai sensi dell’art. 90 del DPR 207/10 per l’esecuzione dei lavori in qualifica OS 6 per l’importo di € 106.550,00</w:t>
      </w:r>
    </w:p>
    <w:p w:rsidR="00184949" w:rsidRPr="00184949" w:rsidRDefault="00184949"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lastRenderedPageBreak/>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lastRenderedPageBreak/>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lastRenderedPageBreak/>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184949" w:rsidRDefault="00184949" w:rsidP="0018494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Pr="00126B20">
        <w:rPr>
          <w:rFonts w:ascii="Arial" w:hAnsi="Arial" w:cs="Arial"/>
          <w:b/>
          <w:color w:val="000000"/>
          <w:w w:val="0"/>
          <w:sz w:val="15"/>
          <w:szCs w:val="15"/>
          <w:highlight w:val="yellow"/>
        </w:rPr>
        <w:t xml:space="preserve">– </w:t>
      </w:r>
    </w:p>
    <w:p w:rsidR="00EC039D" w:rsidRDefault="00184949"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r w:rsidRPr="00184949">
        <w:rPr>
          <w:rFonts w:ascii="Arial" w:hAnsi="Arial" w:cs="Arial"/>
          <w:b/>
          <w:color w:val="000000"/>
          <w:w w:val="0"/>
          <w:sz w:val="15"/>
          <w:szCs w:val="15"/>
          <w:highlight w:val="yellow"/>
        </w:rPr>
        <w:t>Nel presente appalto è richiesto il possesso dell’attestazione SOA OS 6 –classifica I^ o la dimostrazione del possesso dei requisiti tecnici ai sensi dell’art. 90 del DPR 207/10 per l’esecuzione dei lavori in qualifica OS 6 per l’importo di € 106.550,00</w:t>
      </w:r>
    </w:p>
    <w:p w:rsidR="00184949" w:rsidRPr="00184949" w:rsidRDefault="00184949"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highlight w:val="yellow"/>
        </w:rPr>
      </w:pPr>
      <w:bookmarkStart w:id="1" w:name="_GoBack"/>
      <w:bookmarkEnd w:id="1"/>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B5" w:rsidRDefault="00375CB5">
      <w:pPr>
        <w:spacing w:before="0" w:after="0"/>
      </w:pPr>
      <w:r>
        <w:separator/>
      </w:r>
    </w:p>
  </w:endnote>
  <w:endnote w:type="continuationSeparator" w:id="0">
    <w:p w:rsidR="00375CB5" w:rsidRDefault="00375C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84949">
      <w:rPr>
        <w:rFonts w:ascii="Calibri" w:hAnsi="Calibri"/>
        <w:noProof/>
        <w:sz w:val="20"/>
        <w:szCs w:val="20"/>
      </w:rPr>
      <w:t>4</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B5" w:rsidRDefault="00375CB5">
      <w:pPr>
        <w:spacing w:before="0" w:after="0"/>
      </w:pPr>
      <w:r>
        <w:separator/>
      </w:r>
    </w:p>
  </w:footnote>
  <w:footnote w:type="continuationSeparator" w:id="0">
    <w:p w:rsidR="00375CB5" w:rsidRDefault="00375CB5">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84949"/>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75CB5"/>
    <w:rsid w:val="00384132"/>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0D2D-0C73-4DF5-8C6A-59407D80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6987</Words>
  <Characters>39832</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46726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11</cp:revision>
  <cp:lastPrinted>2016-07-15T13:50:00Z</cp:lastPrinted>
  <dcterms:created xsi:type="dcterms:W3CDTF">2017-11-26T10:30:00Z</dcterms:created>
  <dcterms:modified xsi:type="dcterms:W3CDTF">2018-11-27T17:20:00Z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