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51E3" w14:textId="77777777" w:rsidR="00253D61" w:rsidRPr="005610AC" w:rsidRDefault="00253D61" w:rsidP="00253D61">
      <w:pPr>
        <w:jc w:val="center"/>
        <w:rPr>
          <w:rFonts w:ascii="Verdana" w:hAnsi="Verdana"/>
          <w:b/>
          <w:bCs/>
          <w:sz w:val="20"/>
          <w:szCs w:val="20"/>
        </w:rPr>
      </w:pPr>
      <w:r w:rsidRPr="005610AC">
        <w:rPr>
          <w:rFonts w:ascii="Verdana" w:hAnsi="Verdana"/>
          <w:b/>
          <w:bCs/>
          <w:sz w:val="20"/>
          <w:szCs w:val="20"/>
        </w:rPr>
        <w:t>VERBALE N. 1 DEL 05.10.2021</w:t>
      </w:r>
    </w:p>
    <w:p w14:paraId="581D52CC" w14:textId="77777777" w:rsidR="00253D61" w:rsidRPr="005610AC" w:rsidRDefault="00253D61" w:rsidP="00253D61">
      <w:pPr>
        <w:spacing w:after="0"/>
        <w:ind w:hanging="142"/>
        <w:jc w:val="both"/>
        <w:rPr>
          <w:rFonts w:ascii="Verdana" w:hAnsi="Verdana"/>
          <w:sz w:val="20"/>
          <w:szCs w:val="20"/>
        </w:rPr>
      </w:pPr>
    </w:p>
    <w:p w14:paraId="77FE3426" w14:textId="77777777" w:rsidR="00253D61" w:rsidRPr="005610AC" w:rsidRDefault="00253D61" w:rsidP="00253D61">
      <w:pPr>
        <w:spacing w:after="0"/>
        <w:ind w:hanging="142"/>
        <w:jc w:val="both"/>
        <w:rPr>
          <w:rFonts w:ascii="Verdana" w:hAnsi="Verdana"/>
          <w:sz w:val="20"/>
          <w:szCs w:val="20"/>
        </w:rPr>
      </w:pPr>
      <w:r w:rsidRPr="005610AC">
        <w:rPr>
          <w:rFonts w:ascii="Verdana" w:hAnsi="Verdana"/>
          <w:sz w:val="20"/>
          <w:szCs w:val="20"/>
        </w:rPr>
        <w:t xml:space="preserve">  delle operazioni della procedura negoziata sulla piattaforma MEPA per l’affidamento di un </w:t>
      </w:r>
      <w:r w:rsidRPr="005610AC">
        <w:rPr>
          <w:rFonts w:ascii="Verdana" w:eastAsia="Times New Roman" w:hAnsi="Verdana"/>
          <w:sz w:val="20"/>
          <w:szCs w:val="20"/>
        </w:rPr>
        <w:t xml:space="preserve">Accordo Quadro </w:t>
      </w:r>
      <w:r w:rsidRPr="005610AC">
        <w:rPr>
          <w:rFonts w:ascii="Verdana" w:hAnsi="Verdana"/>
          <w:sz w:val="20"/>
          <w:szCs w:val="20"/>
        </w:rPr>
        <w:t xml:space="preserve">per opere edili e affini di manutenzione straordinaria </w:t>
      </w:r>
      <w:r w:rsidRPr="005610AC">
        <w:rPr>
          <w:rFonts w:ascii="Verdana" w:eastAsia="Times New Roman" w:hAnsi="Verdana" w:cs="Times New Roman"/>
          <w:spacing w:val="4"/>
          <w:sz w:val="20"/>
          <w:szCs w:val="20"/>
          <w:lang w:eastAsia="it-IT"/>
        </w:rPr>
        <w:t xml:space="preserve">inquadrate nella categoria OG 1 Edifici civili e industriali, classifica </w:t>
      </w:r>
      <w:r w:rsidRPr="005610AC">
        <w:rPr>
          <w:rFonts w:ascii="Verdana" w:hAnsi="Verdana" w:cs="Arial"/>
          <w:sz w:val="20"/>
          <w:szCs w:val="20"/>
          <w:lang w:val="en"/>
        </w:rPr>
        <w:t xml:space="preserve">III, </w:t>
      </w:r>
      <w:r w:rsidRPr="005610AC">
        <w:rPr>
          <w:rFonts w:ascii="Verdana" w:hAnsi="Verdana"/>
          <w:sz w:val="20"/>
          <w:szCs w:val="20"/>
        </w:rPr>
        <w:t xml:space="preserve">dello stabile di proprietà dell’Istituto, da destinare a sede della Direzione </w:t>
      </w:r>
      <w:r w:rsidRPr="005610AC">
        <w:rPr>
          <w:rFonts w:ascii="Verdana" w:hAnsi="Verdana"/>
          <w:bCs/>
          <w:sz w:val="20"/>
          <w:szCs w:val="20"/>
        </w:rPr>
        <w:t>Provinciale</w:t>
      </w:r>
      <w:r w:rsidRPr="005610AC">
        <w:rPr>
          <w:rFonts w:ascii="Verdana" w:hAnsi="Verdana"/>
          <w:sz w:val="20"/>
          <w:szCs w:val="20"/>
        </w:rPr>
        <w:t xml:space="preserve"> INPS di Trieste, in via Lorenzo Ghiberti n. 4 in Trieste, di cui al CIG 8865119F9D e CUP F97H21005150005.</w:t>
      </w:r>
    </w:p>
    <w:p w14:paraId="6E23800D" w14:textId="77777777" w:rsidR="00253D61" w:rsidRPr="005610AC" w:rsidRDefault="00253D61" w:rsidP="00253D61">
      <w:pPr>
        <w:spacing w:after="0"/>
        <w:ind w:hanging="142"/>
        <w:jc w:val="both"/>
        <w:rPr>
          <w:rFonts w:ascii="Verdana" w:hAnsi="Verdana"/>
          <w:sz w:val="20"/>
          <w:szCs w:val="20"/>
        </w:rPr>
      </w:pPr>
    </w:p>
    <w:p w14:paraId="62F46270" w14:textId="77777777" w:rsidR="00253D61" w:rsidRPr="005610AC" w:rsidRDefault="00253D61" w:rsidP="00253D61">
      <w:pPr>
        <w:spacing w:after="0"/>
        <w:ind w:left="-142"/>
        <w:jc w:val="center"/>
        <w:rPr>
          <w:rFonts w:ascii="Verdana" w:hAnsi="Verdana"/>
          <w:b/>
          <w:bCs/>
          <w:sz w:val="20"/>
          <w:szCs w:val="20"/>
        </w:rPr>
      </w:pPr>
      <w:r w:rsidRPr="005610AC">
        <w:rPr>
          <w:rFonts w:ascii="Verdana" w:hAnsi="Verdana"/>
          <w:b/>
          <w:bCs/>
          <w:sz w:val="20"/>
          <w:szCs w:val="20"/>
        </w:rPr>
        <w:t>PREMESSO:</w:t>
      </w:r>
    </w:p>
    <w:p w14:paraId="54715C4C" w14:textId="77777777" w:rsidR="00253D61" w:rsidRPr="005610AC" w:rsidRDefault="00253D61" w:rsidP="00253D61">
      <w:pPr>
        <w:spacing w:after="0"/>
        <w:ind w:left="-142"/>
        <w:jc w:val="both"/>
        <w:rPr>
          <w:rFonts w:ascii="Verdana" w:hAnsi="Verdana"/>
          <w:sz w:val="20"/>
          <w:szCs w:val="20"/>
        </w:rPr>
      </w:pPr>
    </w:p>
    <w:p w14:paraId="1BEEA1E2" w14:textId="77777777" w:rsidR="00253D61" w:rsidRPr="005610AC" w:rsidRDefault="00253D61" w:rsidP="00253D61">
      <w:pPr>
        <w:spacing w:after="0"/>
        <w:ind w:left="-142"/>
        <w:jc w:val="both"/>
        <w:rPr>
          <w:rFonts w:ascii="Verdana" w:hAnsi="Verdana"/>
          <w:sz w:val="20"/>
          <w:szCs w:val="20"/>
        </w:rPr>
      </w:pPr>
    </w:p>
    <w:p w14:paraId="2CC51F83" w14:textId="77777777" w:rsidR="00253D61" w:rsidRPr="005610AC" w:rsidRDefault="00253D61" w:rsidP="00253D61">
      <w:pPr>
        <w:tabs>
          <w:tab w:val="left" w:pos="4536"/>
        </w:tabs>
        <w:spacing w:line="240" w:lineRule="auto"/>
        <w:jc w:val="both"/>
        <w:rPr>
          <w:rFonts w:ascii="Verdana" w:hAnsi="Verdana"/>
          <w:sz w:val="20"/>
          <w:szCs w:val="20"/>
        </w:rPr>
      </w:pPr>
      <w:r w:rsidRPr="005610AC">
        <w:rPr>
          <w:rFonts w:ascii="Verdana" w:hAnsi="Verdana" w:cs="Calibri"/>
          <w:sz w:val="20"/>
          <w:szCs w:val="20"/>
        </w:rPr>
        <w:t>che con la Determinazione regionale n. 113 del 10.08.2021 veniva costituto il Gruppo di Lavoro in base all’ art. 113 -</w:t>
      </w:r>
      <w:r w:rsidRPr="005610AC">
        <w:rPr>
          <w:rFonts w:ascii="Verdana" w:hAnsi="Verdana" w:cs="Tahoma"/>
          <w:sz w:val="20"/>
          <w:szCs w:val="20"/>
        </w:rPr>
        <w:t>comma 2- del Codice</w:t>
      </w:r>
      <w:r w:rsidRPr="005610AC">
        <w:rPr>
          <w:rFonts w:ascii="Verdana" w:hAnsi="Verdana" w:cs="Calibri"/>
          <w:sz w:val="20"/>
          <w:szCs w:val="20"/>
        </w:rPr>
        <w:t xml:space="preserve"> dei Contratti Pubblici per svolgere varie attività predeterminate dall’art. 113 poc’anzi richiamato e contestualmente veniva nominato quale Responsabile Unico del Procedimento (RUP) l’Arch. Marcello Perazzo Coordinatore regionale tecnico edilizio di questa Direzione regionale;</w:t>
      </w:r>
    </w:p>
    <w:p w14:paraId="2156B836" w14:textId="77777777" w:rsidR="00253D61" w:rsidRPr="005610AC" w:rsidRDefault="00253D61" w:rsidP="00253D61">
      <w:pPr>
        <w:spacing w:after="0"/>
        <w:jc w:val="both"/>
        <w:rPr>
          <w:rFonts w:ascii="Verdana" w:hAnsi="Verdana"/>
          <w:sz w:val="20"/>
          <w:szCs w:val="20"/>
        </w:rPr>
      </w:pPr>
      <w:r w:rsidRPr="005610AC">
        <w:rPr>
          <w:rFonts w:ascii="Verdana" w:hAnsi="Verdana"/>
          <w:sz w:val="20"/>
          <w:szCs w:val="20"/>
        </w:rPr>
        <w:t>che con la Determinazione regionale n. 123 dell’8 settembre 2021 questa Direzione regionale INPS FVG</w:t>
      </w:r>
      <w:r w:rsidRPr="005610AC">
        <w:rPr>
          <w:rFonts w:ascii="Verdana" w:hAnsi="Verdana"/>
          <w:b/>
          <w:bCs/>
          <w:sz w:val="20"/>
          <w:szCs w:val="20"/>
        </w:rPr>
        <w:t xml:space="preserve"> </w:t>
      </w:r>
      <w:r w:rsidRPr="005610AC">
        <w:rPr>
          <w:rFonts w:ascii="Verdana" w:hAnsi="Verdana"/>
          <w:color w:val="000000"/>
          <w:sz w:val="20"/>
          <w:szCs w:val="20"/>
        </w:rPr>
        <w:t xml:space="preserve">autorizzava una </w:t>
      </w:r>
      <w:r w:rsidRPr="005610AC">
        <w:rPr>
          <w:rFonts w:ascii="Verdana" w:hAnsi="Verdana" w:cs="Calibri"/>
          <w:sz w:val="20"/>
          <w:szCs w:val="20"/>
        </w:rPr>
        <w:t>procedura negoziata, senza previa pubblicazione di un bando, da svolgersi sulla piattaforma MEPA finalizzata alla</w:t>
      </w:r>
      <w:r w:rsidRPr="005610AC">
        <w:rPr>
          <w:rFonts w:ascii="Verdana" w:hAnsi="Verdana"/>
          <w:sz w:val="20"/>
          <w:szCs w:val="20"/>
        </w:rPr>
        <w:t xml:space="preserve"> stipulazione di un Accordo Quadro per eseguire la manutenzione straordinaria</w:t>
      </w:r>
      <w:r w:rsidRPr="005610AC">
        <w:rPr>
          <w:rFonts w:ascii="Verdana" w:hAnsi="Verdana" w:cs="Arial"/>
          <w:sz w:val="20"/>
          <w:szCs w:val="20"/>
          <w:lang w:val="en"/>
        </w:rPr>
        <w:t xml:space="preserve"> </w:t>
      </w:r>
      <w:r w:rsidRPr="005610AC">
        <w:rPr>
          <w:rFonts w:ascii="Verdana" w:hAnsi="Verdana"/>
          <w:sz w:val="20"/>
          <w:szCs w:val="20"/>
        </w:rPr>
        <w:t xml:space="preserve">dello stabile di proprietà dell’Istituto, da destinare a sede della Direzione </w:t>
      </w:r>
      <w:r w:rsidRPr="005610AC">
        <w:rPr>
          <w:rFonts w:ascii="Verdana" w:hAnsi="Verdana"/>
          <w:bCs/>
          <w:sz w:val="20"/>
          <w:szCs w:val="20"/>
        </w:rPr>
        <w:t>Provinciale</w:t>
      </w:r>
      <w:r w:rsidRPr="005610AC">
        <w:rPr>
          <w:rFonts w:ascii="Verdana" w:hAnsi="Verdana"/>
          <w:sz w:val="20"/>
          <w:szCs w:val="20"/>
        </w:rPr>
        <w:t xml:space="preserve"> INPS di Trieste, in via Lorenzo Ghiberti n. 4 in Trieste;</w:t>
      </w:r>
    </w:p>
    <w:p w14:paraId="16E5BE5F" w14:textId="77777777" w:rsidR="00253D61" w:rsidRPr="005610AC" w:rsidRDefault="00253D61" w:rsidP="00253D61">
      <w:pPr>
        <w:spacing w:after="0"/>
        <w:jc w:val="both"/>
        <w:rPr>
          <w:rFonts w:ascii="Verdana" w:hAnsi="Verdana"/>
          <w:sz w:val="20"/>
          <w:szCs w:val="20"/>
        </w:rPr>
      </w:pPr>
    </w:p>
    <w:p w14:paraId="06C4F252" w14:textId="77777777" w:rsidR="00253D61" w:rsidRPr="005610AC" w:rsidRDefault="00253D61" w:rsidP="00253D61">
      <w:pPr>
        <w:tabs>
          <w:tab w:val="left" w:pos="4536"/>
        </w:tabs>
        <w:spacing w:line="240" w:lineRule="auto"/>
        <w:jc w:val="both"/>
        <w:rPr>
          <w:rFonts w:ascii="Verdana" w:eastAsia="Times New Roman" w:hAnsi="Verdana" w:cs="Times New Roman"/>
          <w:color w:val="000000" w:themeColor="text1"/>
          <w:spacing w:val="4"/>
          <w:sz w:val="20"/>
          <w:szCs w:val="20"/>
          <w:lang w:eastAsia="it-IT"/>
        </w:rPr>
      </w:pPr>
      <w:r w:rsidRPr="005610AC">
        <w:rPr>
          <w:rFonts w:ascii="Verdana" w:hAnsi="Verdana"/>
          <w:sz w:val="20"/>
          <w:szCs w:val="20"/>
        </w:rPr>
        <w:t>che l’Ufficio r</w:t>
      </w:r>
      <w:r w:rsidRPr="005610AC">
        <w:rPr>
          <w:rFonts w:ascii="Verdana" w:hAnsi="Verdana" w:cs="Calibri"/>
          <w:sz w:val="20"/>
          <w:szCs w:val="20"/>
        </w:rPr>
        <w:t xml:space="preserve">egionale tecnico edilizio di questa Direzione regionale, in esecuzione della determinazione n. </w:t>
      </w:r>
      <w:r w:rsidRPr="005610AC">
        <w:rPr>
          <w:rFonts w:ascii="Verdana" w:hAnsi="Verdana"/>
          <w:sz w:val="20"/>
          <w:szCs w:val="20"/>
        </w:rPr>
        <w:t xml:space="preserve">123/2021, </w:t>
      </w:r>
      <w:r w:rsidRPr="005610AC">
        <w:rPr>
          <w:rFonts w:ascii="Verdana" w:hAnsi="Verdana" w:cs="Calibri"/>
          <w:sz w:val="20"/>
          <w:szCs w:val="20"/>
        </w:rPr>
        <w:t>inviava il giorno 08.09.2021, a mezzo MEPA, la RICHIESTA DI OFFERTA (RdO) a trenta operatori economici abilitati al MEPA, selezionati dal sistema MEPA in base al</w:t>
      </w:r>
      <w:r w:rsidRPr="005610AC">
        <w:rPr>
          <w:rFonts w:ascii="Verdana" w:eastAsia="Times New Roman" w:hAnsi="Verdana" w:cs="Times New Roman"/>
          <w:color w:val="000000" w:themeColor="text1"/>
          <w:spacing w:val="4"/>
          <w:sz w:val="20"/>
          <w:szCs w:val="20"/>
          <w:lang w:eastAsia="it-IT"/>
        </w:rPr>
        <w:t xml:space="preserve"> possesso della certificazione SOA per la categoria di opere OG 1 Edifici civili e industriali, classifica </w:t>
      </w:r>
      <w:r w:rsidRPr="005610AC">
        <w:rPr>
          <w:rFonts w:ascii="Verdana" w:hAnsi="Verdana" w:cs="Arial"/>
          <w:color w:val="000000" w:themeColor="text1"/>
          <w:sz w:val="20"/>
          <w:szCs w:val="20"/>
          <w:lang w:val="en"/>
        </w:rPr>
        <w:t xml:space="preserve">III prevista per opere di valore entro € 1.033.000,00, tenendo conto che il valore delle opere di cui trattasi è pari a € 714.000,00 ( oltre all’IVA al 22%) di cui € 14.000,00 </w:t>
      </w:r>
      <w:r w:rsidRPr="005610AC">
        <w:rPr>
          <w:rFonts w:ascii="Verdana" w:hAnsi="Verdana" w:cs="Calibri"/>
          <w:bCs/>
          <w:sz w:val="20"/>
          <w:szCs w:val="20"/>
        </w:rPr>
        <w:t>per gli oneri per la sicurezza ex d.lgs. 81/2008, non soggetti a ribasso,</w:t>
      </w:r>
      <w:r w:rsidRPr="005610AC">
        <w:rPr>
          <w:rFonts w:ascii="Verdana" w:hAnsi="Verdana" w:cs="Arial"/>
          <w:color w:val="000000" w:themeColor="text1"/>
          <w:sz w:val="20"/>
          <w:szCs w:val="20"/>
          <w:lang w:val="en"/>
        </w:rPr>
        <w:t xml:space="preserve"> </w:t>
      </w:r>
      <w:r w:rsidRPr="005610AC">
        <w:rPr>
          <w:rFonts w:ascii="Verdana" w:eastAsia="Times New Roman" w:hAnsi="Verdana" w:cs="Times New Roman"/>
          <w:color w:val="000000" w:themeColor="text1"/>
          <w:spacing w:val="4"/>
          <w:sz w:val="20"/>
          <w:szCs w:val="20"/>
          <w:lang w:eastAsia="it-IT"/>
        </w:rPr>
        <w:t>;</w:t>
      </w:r>
    </w:p>
    <w:p w14:paraId="4C90E2EB" w14:textId="77777777" w:rsidR="00253D61" w:rsidRPr="005610AC" w:rsidRDefault="00253D61" w:rsidP="00253D61">
      <w:pPr>
        <w:tabs>
          <w:tab w:val="left" w:pos="4536"/>
        </w:tabs>
        <w:spacing w:line="240" w:lineRule="auto"/>
        <w:jc w:val="both"/>
        <w:rPr>
          <w:rFonts w:ascii="Verdana" w:hAnsi="Verdana" w:cs="Calibri"/>
          <w:sz w:val="20"/>
          <w:szCs w:val="20"/>
        </w:rPr>
      </w:pPr>
      <w:r w:rsidRPr="005610AC">
        <w:rPr>
          <w:rFonts w:ascii="Verdana" w:eastAsia="Times New Roman" w:hAnsi="Verdana" w:cs="Times New Roman"/>
          <w:color w:val="000000" w:themeColor="text1"/>
          <w:spacing w:val="4"/>
          <w:sz w:val="20"/>
          <w:szCs w:val="20"/>
          <w:lang w:eastAsia="it-IT"/>
        </w:rPr>
        <w:t xml:space="preserve">che gli interessati potevano presentare la loro </w:t>
      </w:r>
      <w:r w:rsidRPr="005610AC">
        <w:rPr>
          <w:rFonts w:ascii="Verdana" w:hAnsi="Verdana" w:cs="Calibri"/>
          <w:sz w:val="20"/>
          <w:szCs w:val="20"/>
        </w:rPr>
        <w:t>OFFERTA sul MEPA entro il termine perentorio previsto il giorno 01.10.2021 alle ore 12:00,</w:t>
      </w:r>
    </w:p>
    <w:p w14:paraId="6D5E34E0" w14:textId="77777777" w:rsidR="00253D61" w:rsidRPr="005610AC" w:rsidRDefault="00253D61" w:rsidP="00253D61">
      <w:pPr>
        <w:tabs>
          <w:tab w:val="left" w:pos="4536"/>
        </w:tabs>
        <w:spacing w:line="240" w:lineRule="auto"/>
        <w:jc w:val="both"/>
        <w:rPr>
          <w:rFonts w:ascii="Verdana" w:hAnsi="Verdana"/>
          <w:sz w:val="20"/>
          <w:szCs w:val="20"/>
        </w:rPr>
      </w:pPr>
      <w:r w:rsidRPr="005610AC">
        <w:rPr>
          <w:rFonts w:ascii="Verdana" w:hAnsi="Verdana" w:cs="Calibri"/>
          <w:sz w:val="20"/>
          <w:szCs w:val="20"/>
        </w:rPr>
        <w:t>che con determinazione regionale n.133 del 05.10.2021</w:t>
      </w:r>
      <w:r w:rsidRPr="005610AC">
        <w:rPr>
          <w:rFonts w:ascii="Verdana" w:hAnsi="Verdana" w:cs="Calibri"/>
          <w:b/>
          <w:bCs/>
          <w:sz w:val="20"/>
          <w:szCs w:val="20"/>
        </w:rPr>
        <w:t xml:space="preserve"> </w:t>
      </w:r>
      <w:r w:rsidRPr="005610AC">
        <w:rPr>
          <w:rFonts w:ascii="Verdana" w:hAnsi="Verdana" w:cs="Calibri"/>
          <w:sz w:val="20"/>
          <w:szCs w:val="20"/>
        </w:rPr>
        <w:t xml:space="preserve">veniva </w:t>
      </w:r>
      <w:r w:rsidRPr="005610AC">
        <w:rPr>
          <w:rFonts w:ascii="Verdana" w:hAnsi="Verdana"/>
          <w:sz w:val="20"/>
          <w:szCs w:val="20"/>
        </w:rPr>
        <w:t>costituito il Seggio di Gara per la procedura negoziata sulla piattaforma MEPA in corso, indetta con la determinazione regionale n. 123 regionale n. 123 dell’8 settembre 2021;</w:t>
      </w:r>
    </w:p>
    <w:p w14:paraId="521F579B" w14:textId="77777777" w:rsidR="00253D61" w:rsidRPr="005610AC" w:rsidRDefault="00253D61" w:rsidP="00253D61">
      <w:pPr>
        <w:widowControl w:val="0"/>
        <w:tabs>
          <w:tab w:val="left" w:pos="4536"/>
        </w:tabs>
        <w:autoSpaceDE w:val="0"/>
        <w:autoSpaceDN w:val="0"/>
        <w:adjustRightInd w:val="0"/>
        <w:spacing w:before="100" w:beforeAutospacing="1" w:after="100" w:afterAutospacing="1" w:line="240" w:lineRule="auto"/>
        <w:ind w:right="140"/>
        <w:jc w:val="both"/>
        <w:rPr>
          <w:rFonts w:ascii="Verdana" w:eastAsia="Calibri" w:hAnsi="Verdana" w:cs="Arial"/>
          <w:color w:val="000000" w:themeColor="text1"/>
          <w:sz w:val="20"/>
          <w:szCs w:val="20"/>
        </w:rPr>
      </w:pPr>
      <w:r w:rsidRPr="005610AC">
        <w:rPr>
          <w:rFonts w:ascii="Verdana" w:hAnsi="Verdana"/>
          <w:sz w:val="20"/>
          <w:szCs w:val="20"/>
        </w:rPr>
        <w:t xml:space="preserve">che il </w:t>
      </w:r>
      <w:r w:rsidRPr="005610AC">
        <w:rPr>
          <w:rFonts w:ascii="Verdana" w:hAnsi="Verdana" w:cs="Calibri"/>
          <w:sz w:val="20"/>
          <w:szCs w:val="20"/>
        </w:rPr>
        <w:t>Seggio di Gara per lo svolgimento delle relative operazioni è così composto:</w:t>
      </w:r>
      <w:r w:rsidRPr="005610AC">
        <w:rPr>
          <w:rFonts w:ascii="Verdana" w:hAnsi="Verdana"/>
          <w:sz w:val="20"/>
          <w:szCs w:val="20"/>
        </w:rPr>
        <w:t xml:space="preserve"> </w:t>
      </w:r>
    </w:p>
    <w:p w14:paraId="1770B43F" w14:textId="77777777" w:rsidR="00253D61" w:rsidRPr="005610AC" w:rsidRDefault="00253D61" w:rsidP="00253D61">
      <w:pPr>
        <w:tabs>
          <w:tab w:val="left" w:pos="1276"/>
          <w:tab w:val="left" w:pos="4536"/>
        </w:tabs>
        <w:spacing w:line="240" w:lineRule="auto"/>
        <w:jc w:val="both"/>
        <w:rPr>
          <w:rFonts w:ascii="Verdana" w:hAnsi="Verdana"/>
          <w:sz w:val="20"/>
          <w:szCs w:val="20"/>
        </w:rPr>
      </w:pPr>
      <w:r w:rsidRPr="005610AC">
        <w:rPr>
          <w:rFonts w:ascii="Verdana" w:hAnsi="Verdana"/>
          <w:sz w:val="20"/>
          <w:szCs w:val="20"/>
        </w:rPr>
        <w:t xml:space="preserve">-il </w:t>
      </w:r>
      <w:r w:rsidRPr="005610AC">
        <w:rPr>
          <w:rFonts w:ascii="Verdana" w:hAnsi="Verdana" w:cs="Calibri"/>
          <w:sz w:val="20"/>
          <w:szCs w:val="20"/>
        </w:rPr>
        <w:t>d</w:t>
      </w:r>
      <w:r w:rsidRPr="005610AC">
        <w:rPr>
          <w:rFonts w:ascii="Verdana" w:hAnsi="Verdana"/>
          <w:sz w:val="20"/>
          <w:szCs w:val="20"/>
        </w:rPr>
        <w:t xml:space="preserve">r. Antonino Giuseppe Rizzo quale Presidente del Seggio di Gara </w:t>
      </w:r>
    </w:p>
    <w:p w14:paraId="59BF8DAE" w14:textId="77777777" w:rsidR="00253D61" w:rsidRPr="005610AC" w:rsidRDefault="00253D61" w:rsidP="00253D61">
      <w:pPr>
        <w:tabs>
          <w:tab w:val="left" w:pos="1276"/>
          <w:tab w:val="left" w:pos="4536"/>
        </w:tabs>
        <w:spacing w:line="240" w:lineRule="auto"/>
        <w:jc w:val="both"/>
        <w:rPr>
          <w:rFonts w:ascii="Verdana" w:hAnsi="Verdana"/>
          <w:sz w:val="20"/>
          <w:szCs w:val="20"/>
        </w:rPr>
      </w:pPr>
      <w:r w:rsidRPr="005610AC">
        <w:rPr>
          <w:rFonts w:ascii="Verdana" w:hAnsi="Verdana"/>
          <w:sz w:val="20"/>
          <w:szCs w:val="20"/>
        </w:rPr>
        <w:t>-il dr. Guido Luca Brunello quale componente dello stesso</w:t>
      </w:r>
    </w:p>
    <w:p w14:paraId="24AB4047" w14:textId="77777777" w:rsidR="00253D61" w:rsidRPr="005610AC" w:rsidRDefault="00253D61" w:rsidP="00253D61">
      <w:pPr>
        <w:tabs>
          <w:tab w:val="left" w:pos="1276"/>
          <w:tab w:val="left" w:pos="4536"/>
        </w:tabs>
        <w:spacing w:line="240" w:lineRule="auto"/>
        <w:jc w:val="both"/>
        <w:rPr>
          <w:rFonts w:ascii="Verdana" w:hAnsi="Verdana"/>
          <w:sz w:val="20"/>
          <w:szCs w:val="20"/>
        </w:rPr>
      </w:pPr>
      <w:r w:rsidRPr="005610AC">
        <w:rPr>
          <w:rFonts w:ascii="Verdana" w:hAnsi="Verdana"/>
          <w:sz w:val="20"/>
          <w:szCs w:val="20"/>
        </w:rPr>
        <w:t>-l’ Arch. Marcello Perazzo quale componente dello stesso</w:t>
      </w:r>
    </w:p>
    <w:p w14:paraId="58CDA521" w14:textId="77777777" w:rsidR="00253D61" w:rsidRPr="005610AC" w:rsidRDefault="00253D61" w:rsidP="00253D61">
      <w:pPr>
        <w:tabs>
          <w:tab w:val="left" w:pos="1276"/>
          <w:tab w:val="left" w:pos="4536"/>
        </w:tabs>
        <w:spacing w:line="240" w:lineRule="auto"/>
        <w:jc w:val="both"/>
        <w:rPr>
          <w:rFonts w:ascii="Verdana" w:hAnsi="Verdana" w:cs="Arial Narrow"/>
          <w:sz w:val="20"/>
          <w:szCs w:val="20"/>
        </w:rPr>
      </w:pPr>
      <w:r w:rsidRPr="005610AC">
        <w:rPr>
          <w:rFonts w:ascii="Verdana" w:hAnsi="Verdana"/>
          <w:sz w:val="20"/>
          <w:szCs w:val="20"/>
        </w:rPr>
        <w:t xml:space="preserve">e che con la stessa </w:t>
      </w:r>
      <w:r w:rsidRPr="005610AC">
        <w:rPr>
          <w:rFonts w:ascii="Verdana" w:hAnsi="Verdana" w:cs="Calibri"/>
          <w:sz w:val="20"/>
          <w:szCs w:val="20"/>
        </w:rPr>
        <w:t>determinazione regionale n. 133 del 05.10.2021 veniva altresì</w:t>
      </w:r>
      <w:r w:rsidRPr="005610AC">
        <w:rPr>
          <w:rFonts w:ascii="Verdana" w:hAnsi="Verdana" w:cs="Calibri"/>
          <w:b/>
          <w:bCs/>
          <w:sz w:val="20"/>
          <w:szCs w:val="20"/>
        </w:rPr>
        <w:t xml:space="preserve"> </w:t>
      </w:r>
      <w:r w:rsidRPr="005610AC">
        <w:rPr>
          <w:rFonts w:ascii="Verdana" w:eastAsia="Calibri" w:hAnsi="Verdana" w:cs="Arial"/>
          <w:color w:val="000000" w:themeColor="text1"/>
          <w:sz w:val="20"/>
          <w:szCs w:val="20"/>
        </w:rPr>
        <w:t xml:space="preserve">nominata </w:t>
      </w:r>
      <w:r w:rsidRPr="005610AC">
        <w:rPr>
          <w:rFonts w:ascii="Verdana" w:hAnsi="Verdana"/>
          <w:sz w:val="20"/>
          <w:szCs w:val="20"/>
        </w:rPr>
        <w:t xml:space="preserve">la dr.ssa </w:t>
      </w:r>
      <w:r w:rsidRPr="005610AC">
        <w:rPr>
          <w:rFonts w:ascii="Verdana" w:hAnsi="Verdana" w:cs="Arial Narrow"/>
          <w:sz w:val="20"/>
          <w:szCs w:val="20"/>
        </w:rPr>
        <w:t>Cinzia Nigris quale segretaria verbalizzante delle operazioni del Seggio di Gara,</w:t>
      </w:r>
    </w:p>
    <w:p w14:paraId="6444CBD0" w14:textId="77777777" w:rsidR="00253D61" w:rsidRPr="005610AC" w:rsidRDefault="00253D61" w:rsidP="00253D61">
      <w:pPr>
        <w:tabs>
          <w:tab w:val="left" w:pos="1276"/>
          <w:tab w:val="left" w:pos="4536"/>
        </w:tabs>
        <w:spacing w:line="240" w:lineRule="auto"/>
        <w:jc w:val="both"/>
        <w:rPr>
          <w:rFonts w:ascii="Verdana" w:hAnsi="Verdana" w:cs="Arial Narrow"/>
          <w:sz w:val="20"/>
          <w:szCs w:val="20"/>
        </w:rPr>
      </w:pPr>
      <w:r w:rsidRPr="005610AC">
        <w:rPr>
          <w:rFonts w:ascii="Verdana" w:hAnsi="Verdana" w:cs="Arial Narrow"/>
          <w:sz w:val="20"/>
          <w:szCs w:val="20"/>
        </w:rPr>
        <w:t xml:space="preserve">che è stato accertato d’ufficio </w:t>
      </w:r>
      <w:bookmarkStart w:id="0" w:name="_Hlk84319334"/>
      <w:r w:rsidRPr="005610AC">
        <w:rPr>
          <w:rFonts w:ascii="Verdana" w:hAnsi="Verdana" w:cs="Arial Narrow"/>
          <w:sz w:val="20"/>
          <w:szCs w:val="20"/>
        </w:rPr>
        <w:t xml:space="preserve">che sulla piattaforma MEPA è stata presentata </w:t>
      </w:r>
      <w:bookmarkEnd w:id="0"/>
      <w:r w:rsidRPr="005610AC">
        <w:rPr>
          <w:rFonts w:ascii="Verdana" w:hAnsi="Verdana" w:cs="Arial Narrow"/>
          <w:sz w:val="20"/>
          <w:szCs w:val="20"/>
        </w:rPr>
        <w:t>una offerta:</w:t>
      </w:r>
    </w:p>
    <w:tbl>
      <w:tblPr>
        <w:tblW w:w="5000" w:type="pct"/>
        <w:tblCellMar>
          <w:top w:w="15" w:type="dxa"/>
          <w:left w:w="15" w:type="dxa"/>
          <w:bottom w:w="15" w:type="dxa"/>
          <w:right w:w="15" w:type="dxa"/>
        </w:tblCellMar>
        <w:tblLook w:val="04A0" w:firstRow="1" w:lastRow="0" w:firstColumn="1" w:lastColumn="0" w:noHBand="0" w:noVBand="1"/>
        <w:tblDescription w:val="Tabella Offerte per la gara Opere edili ed affini manutenzione straordinaria"/>
      </w:tblPr>
      <w:tblGrid>
        <w:gridCol w:w="415"/>
        <w:gridCol w:w="2253"/>
        <w:gridCol w:w="3019"/>
        <w:gridCol w:w="1824"/>
        <w:gridCol w:w="2111"/>
      </w:tblGrid>
      <w:tr w:rsidR="00253D61" w:rsidRPr="005610AC" w14:paraId="024FD7D8" w14:textId="77777777" w:rsidTr="007340E2">
        <w:trPr>
          <w:tblHeader/>
        </w:trPr>
        <w:tc>
          <w:tcPr>
            <w:tcW w:w="0" w:type="auto"/>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3E4BC8D3" w14:textId="77777777" w:rsidR="00253D61" w:rsidRPr="005610AC" w:rsidRDefault="00253D61" w:rsidP="007340E2">
            <w:pPr>
              <w:jc w:val="center"/>
              <w:rPr>
                <w:rFonts w:ascii="Verdana" w:hAnsi="Verdana"/>
                <w:b/>
                <w:bCs/>
                <w:color w:val="F6ECF0"/>
                <w:sz w:val="20"/>
                <w:szCs w:val="20"/>
              </w:rPr>
            </w:pPr>
            <w:r w:rsidRPr="005610AC">
              <w:rPr>
                <w:rFonts w:ascii="Verdana" w:hAnsi="Verdana"/>
                <w:b/>
                <w:bCs/>
                <w:color w:val="F6ECF0"/>
                <w:sz w:val="20"/>
                <w:szCs w:val="20"/>
              </w:rPr>
              <w:lastRenderedPageBreak/>
              <w:t>#</w:t>
            </w:r>
          </w:p>
        </w:tc>
        <w:tc>
          <w:tcPr>
            <w:tcW w:w="0" w:type="auto"/>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7C640D75" w14:textId="77777777" w:rsidR="00253D61" w:rsidRPr="005610AC" w:rsidRDefault="00253D61" w:rsidP="007340E2">
            <w:pPr>
              <w:jc w:val="center"/>
              <w:rPr>
                <w:rFonts w:ascii="Verdana" w:hAnsi="Verdana"/>
                <w:b/>
                <w:bCs/>
                <w:color w:val="F6ECF0"/>
                <w:sz w:val="20"/>
                <w:szCs w:val="20"/>
              </w:rPr>
            </w:pPr>
            <w:r w:rsidRPr="005610AC">
              <w:rPr>
                <w:rFonts w:ascii="Verdana" w:hAnsi="Verdana"/>
                <w:b/>
                <w:bCs/>
                <w:color w:val="F6ECF0"/>
                <w:sz w:val="20"/>
                <w:szCs w:val="20"/>
              </w:rPr>
              <w:t>Denominazione concorrente</w:t>
            </w:r>
          </w:p>
        </w:tc>
        <w:tc>
          <w:tcPr>
            <w:tcW w:w="0" w:type="auto"/>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2565344C" w14:textId="77777777" w:rsidR="00253D61" w:rsidRPr="005610AC" w:rsidRDefault="00253D61" w:rsidP="007340E2">
            <w:pPr>
              <w:jc w:val="center"/>
              <w:rPr>
                <w:rFonts w:ascii="Verdana" w:hAnsi="Verdana"/>
                <w:b/>
                <w:bCs/>
                <w:color w:val="F6ECF0"/>
                <w:sz w:val="20"/>
                <w:szCs w:val="20"/>
              </w:rPr>
            </w:pPr>
            <w:r w:rsidRPr="005610AC">
              <w:rPr>
                <w:rFonts w:ascii="Verdana" w:hAnsi="Verdana"/>
                <w:b/>
                <w:bCs/>
                <w:color w:val="F6ECF0"/>
                <w:sz w:val="20"/>
                <w:szCs w:val="20"/>
              </w:rPr>
              <w:t>Forme di partecipazione</w:t>
            </w:r>
          </w:p>
        </w:tc>
        <w:tc>
          <w:tcPr>
            <w:tcW w:w="0" w:type="auto"/>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36940593" w14:textId="77777777" w:rsidR="00253D61" w:rsidRPr="005610AC" w:rsidRDefault="00253D61" w:rsidP="007340E2">
            <w:pPr>
              <w:jc w:val="center"/>
              <w:rPr>
                <w:rFonts w:ascii="Verdana" w:hAnsi="Verdana"/>
                <w:b/>
                <w:bCs/>
                <w:color w:val="F6ECF0"/>
                <w:sz w:val="20"/>
                <w:szCs w:val="20"/>
              </w:rPr>
            </w:pPr>
            <w:r w:rsidRPr="005610AC">
              <w:rPr>
                <w:rFonts w:ascii="Verdana" w:hAnsi="Verdana"/>
                <w:b/>
                <w:bCs/>
                <w:color w:val="F6ECF0"/>
                <w:sz w:val="20"/>
                <w:szCs w:val="20"/>
              </w:rPr>
              <w:t>Lotti a cui ha partecipato</w:t>
            </w:r>
          </w:p>
        </w:tc>
        <w:tc>
          <w:tcPr>
            <w:tcW w:w="0" w:type="auto"/>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67A6BA8E" w14:textId="77777777" w:rsidR="00253D61" w:rsidRPr="005610AC" w:rsidRDefault="00253D61" w:rsidP="007340E2">
            <w:pPr>
              <w:jc w:val="center"/>
              <w:rPr>
                <w:rFonts w:ascii="Verdana" w:hAnsi="Verdana"/>
                <w:b/>
                <w:bCs/>
                <w:color w:val="F6ECF0"/>
                <w:sz w:val="20"/>
                <w:szCs w:val="20"/>
              </w:rPr>
            </w:pPr>
            <w:r w:rsidRPr="005610AC">
              <w:rPr>
                <w:rFonts w:ascii="Verdana" w:hAnsi="Verdana"/>
                <w:b/>
                <w:bCs/>
                <w:color w:val="F6ECF0"/>
                <w:sz w:val="20"/>
                <w:szCs w:val="20"/>
              </w:rPr>
              <w:t>Data presentazione offerta</w:t>
            </w:r>
          </w:p>
        </w:tc>
      </w:tr>
      <w:tr w:rsidR="00253D61" w:rsidRPr="005610AC" w14:paraId="58EE1734" w14:textId="77777777" w:rsidTr="007340E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C182F6B" w14:textId="77777777" w:rsidR="00253D61" w:rsidRPr="005610AC" w:rsidRDefault="00253D61" w:rsidP="007340E2">
            <w:pPr>
              <w:jc w:val="center"/>
              <w:rPr>
                <w:rFonts w:ascii="Verdana" w:hAnsi="Verdana"/>
                <w:b/>
                <w:bCs/>
                <w:color w:val="333333"/>
                <w:sz w:val="20"/>
                <w:szCs w:val="20"/>
              </w:rPr>
            </w:pPr>
            <w:r w:rsidRPr="005610AC">
              <w:rPr>
                <w:rFonts w:ascii="Verdana" w:hAnsi="Verdana"/>
                <w:b/>
                <w:bCs/>
                <w:color w:val="333333"/>
                <w:sz w:val="20"/>
                <w:szCs w:val="20"/>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6DFED52" w14:textId="77777777" w:rsidR="00253D61" w:rsidRPr="005610AC" w:rsidRDefault="00253D61" w:rsidP="007340E2">
            <w:pPr>
              <w:rPr>
                <w:rFonts w:ascii="Verdana" w:hAnsi="Verdana"/>
                <w:color w:val="333333"/>
                <w:sz w:val="20"/>
                <w:szCs w:val="20"/>
              </w:rPr>
            </w:pPr>
            <w:r w:rsidRPr="005610AC">
              <w:rPr>
                <w:rFonts w:ascii="Verdana" w:hAnsi="Verdana"/>
                <w:color w:val="333333"/>
                <w:sz w:val="20"/>
                <w:szCs w:val="20"/>
              </w:rPr>
              <w:t>SA.MI. S.R.L.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7A03E46" w14:textId="77777777" w:rsidR="00253D61" w:rsidRPr="005610AC" w:rsidRDefault="00253D61" w:rsidP="007340E2">
            <w:pPr>
              <w:rPr>
                <w:rFonts w:ascii="Verdana" w:hAnsi="Verdana"/>
                <w:color w:val="333333"/>
                <w:sz w:val="20"/>
                <w:szCs w:val="20"/>
              </w:rPr>
            </w:pPr>
            <w:r w:rsidRPr="005610AC">
              <w:rPr>
                <w:rFonts w:ascii="Verdana" w:hAnsi="Verdana"/>
                <w:color w:val="333333"/>
                <w:sz w:val="20"/>
                <w:szCs w:val="20"/>
              </w:rPr>
              <w:t>Singolo operatore economico (D.Lgs. 50/2016, art. 45, comma 2, lett. 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81FB52" w14:textId="77777777" w:rsidR="00253D61" w:rsidRPr="005610AC" w:rsidRDefault="00253D61" w:rsidP="007340E2">
            <w:pPr>
              <w:rPr>
                <w:rFonts w:ascii="Verdana" w:hAnsi="Verdana"/>
                <w:color w:val="333333"/>
                <w:sz w:val="20"/>
                <w:szCs w:val="20"/>
              </w:rPr>
            </w:pPr>
            <w:r w:rsidRPr="005610AC">
              <w:rPr>
                <w:rFonts w:ascii="Verdana" w:hAnsi="Verdana"/>
                <w:color w:val="333333"/>
                <w:sz w:val="20"/>
                <w:szCs w:val="20"/>
              </w:rPr>
              <w:t>Lotto 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A931DE1" w14:textId="77777777" w:rsidR="00253D61" w:rsidRPr="005610AC" w:rsidRDefault="00253D61" w:rsidP="007340E2">
            <w:pPr>
              <w:rPr>
                <w:rFonts w:ascii="Verdana" w:hAnsi="Verdana"/>
                <w:color w:val="333333"/>
                <w:sz w:val="20"/>
                <w:szCs w:val="20"/>
              </w:rPr>
            </w:pPr>
            <w:r w:rsidRPr="005610AC">
              <w:rPr>
                <w:rFonts w:ascii="Verdana" w:hAnsi="Verdana"/>
                <w:color w:val="333333"/>
                <w:sz w:val="20"/>
                <w:szCs w:val="20"/>
              </w:rPr>
              <w:t>01/10/2021 11:20:14</w:t>
            </w:r>
          </w:p>
        </w:tc>
      </w:tr>
    </w:tbl>
    <w:p w14:paraId="40FD1742" w14:textId="77777777" w:rsidR="00253D61" w:rsidRPr="005610AC" w:rsidRDefault="00253D61" w:rsidP="00253D61">
      <w:pPr>
        <w:tabs>
          <w:tab w:val="left" w:pos="1276"/>
          <w:tab w:val="left" w:pos="4536"/>
        </w:tabs>
        <w:spacing w:line="240" w:lineRule="auto"/>
        <w:jc w:val="both"/>
        <w:rPr>
          <w:rFonts w:ascii="Verdana" w:hAnsi="Verdana" w:cs="Arial Narrow"/>
          <w:sz w:val="20"/>
          <w:szCs w:val="20"/>
        </w:rPr>
      </w:pPr>
    </w:p>
    <w:p w14:paraId="487211FF" w14:textId="77777777" w:rsidR="00253D61" w:rsidRPr="005610AC" w:rsidRDefault="00253D61" w:rsidP="00253D61">
      <w:pPr>
        <w:tabs>
          <w:tab w:val="left" w:pos="1276"/>
          <w:tab w:val="left" w:pos="4536"/>
        </w:tabs>
        <w:spacing w:line="240" w:lineRule="auto"/>
        <w:jc w:val="both"/>
        <w:rPr>
          <w:rFonts w:ascii="Verdana" w:hAnsi="Verdana" w:cs="Arial Narrow"/>
          <w:sz w:val="20"/>
          <w:szCs w:val="20"/>
        </w:rPr>
      </w:pPr>
    </w:p>
    <w:p w14:paraId="5B29475D" w14:textId="77777777" w:rsidR="00253D61" w:rsidRPr="005610AC" w:rsidRDefault="00253D61" w:rsidP="00253D61">
      <w:pPr>
        <w:tabs>
          <w:tab w:val="left" w:pos="4536"/>
        </w:tabs>
        <w:spacing w:line="240" w:lineRule="auto"/>
        <w:jc w:val="both"/>
        <w:rPr>
          <w:rFonts w:ascii="Verdana" w:hAnsi="Verdana" w:cs="Arial Narrow"/>
          <w:sz w:val="20"/>
          <w:szCs w:val="20"/>
        </w:rPr>
      </w:pPr>
      <w:r w:rsidRPr="005610AC">
        <w:rPr>
          <w:rFonts w:ascii="Verdana" w:eastAsia="Times New Roman" w:hAnsi="Verdana" w:cs="Times New Roman"/>
          <w:spacing w:val="4"/>
          <w:sz w:val="20"/>
          <w:szCs w:val="20"/>
          <w:lang w:eastAsia="it-IT"/>
        </w:rPr>
        <w:t xml:space="preserve">che il giorno 04.10.2021 sulla </w:t>
      </w:r>
      <w:r w:rsidRPr="005610AC">
        <w:rPr>
          <w:rFonts w:ascii="Verdana" w:hAnsi="Verdana" w:cs="Arial Narrow"/>
          <w:sz w:val="20"/>
          <w:szCs w:val="20"/>
        </w:rPr>
        <w:t>piattaforma MEPA è stato comunicato al concorrente l’apertura della prima seduta pubblica per la valutazione della documentazione amministrativa richiesta dalla lex specialis, da inserire nella Busta A);</w:t>
      </w:r>
    </w:p>
    <w:p w14:paraId="59A3B1EB" w14:textId="77777777" w:rsidR="00253D61" w:rsidRPr="005610AC" w:rsidRDefault="00253D61" w:rsidP="00253D61">
      <w:pPr>
        <w:tabs>
          <w:tab w:val="left" w:pos="4536"/>
        </w:tabs>
        <w:spacing w:line="240" w:lineRule="auto"/>
        <w:jc w:val="both"/>
        <w:rPr>
          <w:rFonts w:ascii="Verdana" w:eastAsia="Times New Roman" w:hAnsi="Verdana" w:cs="Times New Roman"/>
          <w:spacing w:val="4"/>
          <w:sz w:val="20"/>
          <w:szCs w:val="20"/>
          <w:lang w:eastAsia="it-IT"/>
        </w:rPr>
      </w:pPr>
      <w:r w:rsidRPr="005610AC">
        <w:rPr>
          <w:rFonts w:ascii="Verdana" w:hAnsi="Verdana" w:cs="Arial Narrow"/>
          <w:sz w:val="20"/>
          <w:szCs w:val="20"/>
        </w:rPr>
        <w:t xml:space="preserve">che successivamente alla comunicazione resa al concorrente nel MEPA, l’UTR inviava medesima informazione a mezzo PEC, il giorno </w:t>
      </w:r>
      <w:r w:rsidRPr="005610AC">
        <w:rPr>
          <w:rFonts w:ascii="Verdana" w:eastAsia="Times New Roman" w:hAnsi="Verdana" w:cs="Times New Roman"/>
          <w:spacing w:val="4"/>
          <w:sz w:val="20"/>
          <w:szCs w:val="20"/>
          <w:lang w:eastAsia="it-IT"/>
        </w:rPr>
        <w:t>04.10.2021;</w:t>
      </w:r>
    </w:p>
    <w:p w14:paraId="77ED7D3A" w14:textId="77777777" w:rsidR="00253D61" w:rsidRPr="005610AC" w:rsidRDefault="00253D61" w:rsidP="00253D61">
      <w:pPr>
        <w:tabs>
          <w:tab w:val="left" w:pos="4536"/>
        </w:tabs>
        <w:spacing w:line="240" w:lineRule="auto"/>
        <w:jc w:val="both"/>
        <w:rPr>
          <w:rFonts w:ascii="Verdana" w:eastAsia="Times New Roman" w:hAnsi="Verdana" w:cs="Times New Roman"/>
          <w:spacing w:val="4"/>
          <w:sz w:val="20"/>
          <w:szCs w:val="20"/>
          <w:lang w:eastAsia="it-IT"/>
        </w:rPr>
      </w:pPr>
      <w:r w:rsidRPr="005610AC">
        <w:rPr>
          <w:rFonts w:ascii="Verdana" w:eastAsia="Times New Roman" w:hAnsi="Verdana" w:cs="Times New Roman"/>
          <w:b/>
          <w:bCs/>
          <w:spacing w:val="4"/>
          <w:sz w:val="20"/>
          <w:szCs w:val="20"/>
          <w:lang w:eastAsia="it-IT"/>
        </w:rPr>
        <w:t>Un tanto premesso</w:t>
      </w:r>
      <w:r w:rsidRPr="005610AC">
        <w:rPr>
          <w:rFonts w:ascii="Verdana" w:eastAsia="Times New Roman" w:hAnsi="Verdana" w:cs="Times New Roman"/>
          <w:spacing w:val="4"/>
          <w:sz w:val="20"/>
          <w:szCs w:val="20"/>
          <w:lang w:eastAsia="it-IT"/>
        </w:rPr>
        <w:t>,</w:t>
      </w:r>
    </w:p>
    <w:p w14:paraId="6CEA19BF" w14:textId="77777777" w:rsidR="00253D61" w:rsidRPr="005610AC" w:rsidRDefault="00253D61" w:rsidP="00253D61">
      <w:pPr>
        <w:tabs>
          <w:tab w:val="left" w:pos="4536"/>
        </w:tabs>
        <w:spacing w:line="240" w:lineRule="auto"/>
        <w:jc w:val="both"/>
        <w:rPr>
          <w:rFonts w:ascii="Verdana" w:hAnsi="Verdana" w:cs="Calibri"/>
          <w:sz w:val="20"/>
          <w:szCs w:val="20"/>
        </w:rPr>
      </w:pPr>
      <w:r w:rsidRPr="005610AC">
        <w:rPr>
          <w:rFonts w:ascii="Verdana" w:hAnsi="Verdana" w:cs="Calibri"/>
          <w:sz w:val="20"/>
          <w:szCs w:val="20"/>
        </w:rPr>
        <w:t>Oggi alle ore 10:05 del giorno 5 ottobre 2021 il Seggio di Gara nominato con la determinazione regionale n.133 del 05.10.2021 si riunisce negli Uffici della Direzione regionale INPS FVG, al sesto piano in via Cesare Battisti n. 10 Trieste.</w:t>
      </w:r>
    </w:p>
    <w:p w14:paraId="6BEAA201" w14:textId="77777777" w:rsidR="00253D61" w:rsidRPr="005610AC" w:rsidRDefault="00253D61" w:rsidP="00253D61">
      <w:pPr>
        <w:tabs>
          <w:tab w:val="left" w:pos="4536"/>
        </w:tabs>
        <w:spacing w:line="240" w:lineRule="auto"/>
        <w:jc w:val="both"/>
        <w:rPr>
          <w:rFonts w:ascii="Verdana" w:hAnsi="Verdana"/>
          <w:sz w:val="20"/>
          <w:szCs w:val="20"/>
        </w:rPr>
      </w:pPr>
      <w:r w:rsidRPr="005610AC">
        <w:rPr>
          <w:rFonts w:ascii="Verdana" w:hAnsi="Verdana" w:cs="Calibri"/>
          <w:sz w:val="20"/>
          <w:szCs w:val="20"/>
        </w:rPr>
        <w:t xml:space="preserve">Il Presidente del Seggio di Gara dichiara aperta la seduta pubblica; si constata che </w:t>
      </w:r>
      <w:r w:rsidRPr="005610AC">
        <w:rPr>
          <w:rFonts w:ascii="Verdana" w:hAnsi="Verdana"/>
          <w:sz w:val="20"/>
          <w:szCs w:val="20"/>
        </w:rPr>
        <w:t>gli Operatori Economici che hanno presentato la loro Offerta sono:</w:t>
      </w:r>
    </w:p>
    <w:p w14:paraId="2355F6AD" w14:textId="77777777" w:rsidR="00253D61" w:rsidRPr="005610AC" w:rsidRDefault="00253D61" w:rsidP="00253D61">
      <w:pPr>
        <w:tabs>
          <w:tab w:val="left" w:pos="4536"/>
        </w:tabs>
        <w:spacing w:line="240" w:lineRule="auto"/>
        <w:jc w:val="both"/>
        <w:rPr>
          <w:rFonts w:ascii="Verdana" w:hAnsi="Verdana"/>
          <w:sz w:val="20"/>
          <w:szCs w:val="20"/>
        </w:rPr>
      </w:pPr>
    </w:p>
    <w:tbl>
      <w:tblPr>
        <w:tblW w:w="5000" w:type="pct"/>
        <w:tblCellMar>
          <w:top w:w="15" w:type="dxa"/>
          <w:left w:w="15" w:type="dxa"/>
          <w:bottom w:w="15" w:type="dxa"/>
          <w:right w:w="15" w:type="dxa"/>
        </w:tblCellMar>
        <w:tblLook w:val="04A0" w:firstRow="1" w:lastRow="0" w:firstColumn="1" w:lastColumn="0" w:noHBand="0" w:noVBand="1"/>
        <w:tblDescription w:val="Tabella Offerte per la gara Opere edili ed affini manutenzione straordinaria"/>
      </w:tblPr>
      <w:tblGrid>
        <w:gridCol w:w="383"/>
        <w:gridCol w:w="1288"/>
        <w:gridCol w:w="4827"/>
        <w:gridCol w:w="1119"/>
        <w:gridCol w:w="2005"/>
      </w:tblGrid>
      <w:tr w:rsidR="00253D61" w:rsidRPr="005610AC" w14:paraId="16FD7ED1" w14:textId="77777777" w:rsidTr="007340E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3E51D7F" w14:textId="77777777" w:rsidR="00253D61" w:rsidRPr="005610AC" w:rsidRDefault="00253D61" w:rsidP="007340E2">
            <w:pPr>
              <w:spacing w:after="0" w:line="240" w:lineRule="auto"/>
              <w:jc w:val="center"/>
              <w:rPr>
                <w:rFonts w:ascii="Verdana" w:eastAsia="Times New Roman" w:hAnsi="Verdana" w:cs="Times New Roman"/>
                <w:b/>
                <w:bCs/>
                <w:color w:val="333333"/>
                <w:sz w:val="20"/>
                <w:szCs w:val="20"/>
                <w:lang w:eastAsia="it-IT"/>
              </w:rPr>
            </w:pPr>
            <w:r w:rsidRPr="005610AC">
              <w:rPr>
                <w:rFonts w:ascii="Verdana" w:eastAsia="Times New Roman" w:hAnsi="Verdana" w:cs="Times New Roman"/>
                <w:b/>
                <w:bCs/>
                <w:color w:val="333333"/>
                <w:sz w:val="20"/>
                <w:szCs w:val="20"/>
                <w:lang w:eastAsia="it-IT"/>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7A95206" w14:textId="77777777" w:rsidR="00253D61" w:rsidRPr="005610AC" w:rsidRDefault="00253D61" w:rsidP="007340E2">
            <w:pPr>
              <w:spacing w:after="0" w:line="240" w:lineRule="auto"/>
              <w:rPr>
                <w:rFonts w:ascii="Verdana" w:eastAsia="Times New Roman" w:hAnsi="Verdana" w:cs="Times New Roman"/>
                <w:color w:val="333333"/>
                <w:sz w:val="20"/>
                <w:szCs w:val="20"/>
                <w:lang w:eastAsia="it-IT"/>
              </w:rPr>
            </w:pPr>
            <w:r w:rsidRPr="005610AC">
              <w:rPr>
                <w:rFonts w:ascii="Verdana" w:eastAsia="Times New Roman" w:hAnsi="Verdana" w:cs="Times New Roman"/>
                <w:color w:val="333333"/>
                <w:sz w:val="20"/>
                <w:szCs w:val="20"/>
                <w:lang w:eastAsia="it-IT"/>
              </w:rPr>
              <w:t>SA.MI. S.R.L.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5BC958F" w14:textId="77777777" w:rsidR="00253D61" w:rsidRPr="005610AC" w:rsidRDefault="00253D61" w:rsidP="007340E2">
            <w:pPr>
              <w:spacing w:after="0" w:line="240" w:lineRule="auto"/>
              <w:rPr>
                <w:rFonts w:ascii="Verdana" w:eastAsia="Times New Roman" w:hAnsi="Verdana" w:cs="Times New Roman"/>
                <w:color w:val="333333"/>
                <w:sz w:val="20"/>
                <w:szCs w:val="20"/>
                <w:lang w:eastAsia="it-IT"/>
              </w:rPr>
            </w:pPr>
            <w:r w:rsidRPr="005610AC">
              <w:rPr>
                <w:rFonts w:ascii="Verdana" w:eastAsia="Times New Roman" w:hAnsi="Verdana" w:cs="Times New Roman"/>
                <w:color w:val="333333"/>
                <w:sz w:val="20"/>
                <w:szCs w:val="20"/>
                <w:lang w:eastAsia="it-IT"/>
              </w:rPr>
              <w:t>Singolo operatore economico (D.Lgs. 50/2016, art. 45, comma 2, lett. 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EC25FA6" w14:textId="77777777" w:rsidR="00253D61" w:rsidRPr="005610AC" w:rsidRDefault="00253D61" w:rsidP="007340E2">
            <w:pPr>
              <w:spacing w:after="0" w:line="240" w:lineRule="auto"/>
              <w:rPr>
                <w:rFonts w:ascii="Verdana" w:eastAsia="Times New Roman" w:hAnsi="Verdana" w:cs="Times New Roman"/>
                <w:color w:val="333333"/>
                <w:sz w:val="20"/>
                <w:szCs w:val="20"/>
                <w:lang w:eastAsia="it-IT"/>
              </w:rPr>
            </w:pPr>
            <w:r w:rsidRPr="005610AC">
              <w:rPr>
                <w:rFonts w:ascii="Verdana" w:eastAsia="Times New Roman" w:hAnsi="Verdana" w:cs="Times New Roman"/>
                <w:color w:val="333333"/>
                <w:sz w:val="20"/>
                <w:szCs w:val="20"/>
                <w:lang w:eastAsia="it-IT"/>
              </w:rPr>
              <w:t>Lotto Unico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1DC2ED6" w14:textId="77777777" w:rsidR="00253D61" w:rsidRPr="005610AC" w:rsidRDefault="00253D61" w:rsidP="007340E2">
            <w:pPr>
              <w:spacing w:after="0" w:line="240" w:lineRule="auto"/>
              <w:rPr>
                <w:rFonts w:ascii="Verdana" w:eastAsia="Times New Roman" w:hAnsi="Verdana" w:cs="Times New Roman"/>
                <w:color w:val="333333"/>
                <w:sz w:val="20"/>
                <w:szCs w:val="20"/>
                <w:lang w:eastAsia="it-IT"/>
              </w:rPr>
            </w:pPr>
            <w:r w:rsidRPr="005610AC">
              <w:rPr>
                <w:rFonts w:ascii="Verdana" w:eastAsia="Times New Roman" w:hAnsi="Verdana" w:cs="Times New Roman"/>
                <w:color w:val="333333"/>
                <w:sz w:val="20"/>
                <w:szCs w:val="20"/>
                <w:lang w:eastAsia="it-IT"/>
              </w:rPr>
              <w:t>01/10/2021 11:20:14</w:t>
            </w:r>
          </w:p>
        </w:tc>
      </w:tr>
    </w:tbl>
    <w:p w14:paraId="15F6DED0" w14:textId="77777777" w:rsidR="00253D61" w:rsidRPr="005610AC" w:rsidRDefault="00253D61" w:rsidP="00253D61">
      <w:pPr>
        <w:tabs>
          <w:tab w:val="left" w:pos="4536"/>
        </w:tabs>
        <w:spacing w:line="240" w:lineRule="auto"/>
        <w:jc w:val="both"/>
        <w:rPr>
          <w:rFonts w:ascii="Verdana" w:hAnsi="Verdana"/>
          <w:sz w:val="20"/>
          <w:szCs w:val="20"/>
        </w:rPr>
      </w:pPr>
    </w:p>
    <w:p w14:paraId="3ACE7E98" w14:textId="77777777" w:rsidR="00253D61" w:rsidRPr="005610AC" w:rsidRDefault="00253D61" w:rsidP="00253D61">
      <w:pPr>
        <w:spacing w:before="120"/>
        <w:jc w:val="both"/>
        <w:rPr>
          <w:rFonts w:ascii="Verdana" w:hAnsi="Verdana"/>
          <w:sz w:val="20"/>
          <w:szCs w:val="20"/>
        </w:rPr>
      </w:pPr>
      <w:r w:rsidRPr="005610AC">
        <w:rPr>
          <w:rFonts w:ascii="Verdana" w:hAnsi="Verdana"/>
          <w:sz w:val="20"/>
          <w:szCs w:val="20"/>
        </w:rPr>
        <w:t>Si procede alla apertura della BUSTA A).</w:t>
      </w:r>
    </w:p>
    <w:p w14:paraId="1EDB6D6E" w14:textId="77777777" w:rsidR="00253D61" w:rsidRPr="005610AC" w:rsidRDefault="00253D61" w:rsidP="00253D61">
      <w:pPr>
        <w:spacing w:before="120"/>
        <w:jc w:val="both"/>
        <w:rPr>
          <w:rFonts w:ascii="Verdana" w:hAnsi="Verdana"/>
          <w:sz w:val="20"/>
          <w:szCs w:val="20"/>
        </w:rPr>
      </w:pPr>
      <w:r w:rsidRPr="005610AC">
        <w:rPr>
          <w:rFonts w:ascii="Verdana" w:hAnsi="Verdana"/>
          <w:sz w:val="20"/>
          <w:szCs w:val="20"/>
        </w:rPr>
        <w:t>In essa sono presenti:</w:t>
      </w:r>
    </w:p>
    <w:p w14:paraId="6301D120"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Attestazione del versamento del contributo di € 70,00 all’A.N.AC. </w:t>
      </w:r>
    </w:p>
    <w:p w14:paraId="57C0B35B"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il PASSOE  </w:t>
      </w:r>
    </w:p>
    <w:p w14:paraId="16AD9822"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Polizza a garanzia provvisoria per partecipare alla gara in essere </w:t>
      </w:r>
    </w:p>
    <w:p w14:paraId="1CB1FD50"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il DGUE </w:t>
      </w:r>
    </w:p>
    <w:p w14:paraId="734F98F0"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Dichiarazione di partecipazione all’affidamento mediante RDO sul MEPA </w:t>
      </w:r>
    </w:p>
    <w:p w14:paraId="4FAB15D7"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il Capitolato Speciale di Appalto</w:t>
      </w:r>
    </w:p>
    <w:p w14:paraId="7171AD3F"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scheda dei costi generali </w:t>
      </w:r>
    </w:p>
    <w:p w14:paraId="3110496A"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la Dichiarazione sostitutiva dell’Atto di Notorietà per la dichiarazione di conformità agli originali dei certificati di legge</w:t>
      </w:r>
    </w:p>
    <w:p w14:paraId="58DD4757"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Dichiarazione integrativa del DGUE </w:t>
      </w:r>
    </w:p>
    <w:p w14:paraId="3C06BAA9" w14:textId="77777777" w:rsidR="00253D61" w:rsidRPr="005610AC" w:rsidRDefault="00253D61" w:rsidP="00253D61">
      <w:pPr>
        <w:pStyle w:val="Paragrafoelenco"/>
        <w:numPr>
          <w:ilvl w:val="0"/>
          <w:numId w:val="1"/>
        </w:numPr>
        <w:spacing w:before="120"/>
        <w:jc w:val="both"/>
        <w:rPr>
          <w:rFonts w:ascii="Verdana" w:hAnsi="Verdana"/>
          <w:sz w:val="20"/>
          <w:szCs w:val="20"/>
        </w:rPr>
      </w:pPr>
      <w:r w:rsidRPr="005610AC">
        <w:rPr>
          <w:rFonts w:ascii="Verdana" w:hAnsi="Verdana"/>
          <w:sz w:val="20"/>
          <w:szCs w:val="20"/>
        </w:rPr>
        <w:t xml:space="preserve">la Relazione unica di progetto </w:t>
      </w:r>
    </w:p>
    <w:p w14:paraId="6933A801" w14:textId="77777777" w:rsidR="00253D61" w:rsidRPr="005610AC" w:rsidRDefault="00253D61" w:rsidP="00253D61">
      <w:pPr>
        <w:spacing w:before="120"/>
        <w:jc w:val="both"/>
        <w:rPr>
          <w:rFonts w:ascii="Verdana" w:hAnsi="Verdana"/>
          <w:sz w:val="20"/>
          <w:szCs w:val="20"/>
        </w:rPr>
      </w:pPr>
      <w:r w:rsidRPr="005610AC">
        <w:rPr>
          <w:rFonts w:ascii="Verdana" w:hAnsi="Verdana"/>
          <w:sz w:val="20"/>
          <w:szCs w:val="20"/>
        </w:rPr>
        <w:t xml:space="preserve">La predetta documentazione è firmata in digitale. </w:t>
      </w:r>
    </w:p>
    <w:p w14:paraId="7DC11A8E" w14:textId="77777777" w:rsidR="00253D61" w:rsidRPr="005610AC" w:rsidRDefault="00253D61" w:rsidP="00253D61">
      <w:pPr>
        <w:spacing w:before="120"/>
        <w:jc w:val="both"/>
        <w:rPr>
          <w:rFonts w:ascii="Verdana" w:hAnsi="Verdana"/>
          <w:sz w:val="20"/>
          <w:szCs w:val="20"/>
        </w:rPr>
      </w:pPr>
      <w:r w:rsidRPr="005610AC">
        <w:rPr>
          <w:rFonts w:ascii="Verdana" w:hAnsi="Verdana"/>
          <w:sz w:val="20"/>
          <w:szCs w:val="20"/>
        </w:rPr>
        <w:t>Il Seggio di Gara osserva che la scheda dei costi generali della società in esame è un dato dal quale non si può ricavare alcun elemento utile a prevedere una ipotesi di offerta economica, quindi constata la mancanza della seguente documentazione:</w:t>
      </w:r>
    </w:p>
    <w:p w14:paraId="7424C4E0" w14:textId="77777777" w:rsidR="00253D61" w:rsidRPr="005610AC" w:rsidRDefault="00253D61" w:rsidP="00253D61">
      <w:pPr>
        <w:jc w:val="both"/>
        <w:rPr>
          <w:rFonts w:ascii="Verdana" w:hAnsi="Verdana"/>
          <w:sz w:val="20"/>
          <w:szCs w:val="20"/>
        </w:rPr>
      </w:pPr>
      <w:r w:rsidRPr="005610AC">
        <w:rPr>
          <w:rFonts w:ascii="Verdana" w:hAnsi="Verdana"/>
          <w:sz w:val="20"/>
          <w:szCs w:val="20"/>
        </w:rPr>
        <w:lastRenderedPageBreak/>
        <w:t>Disciplinare di gara, Schema di contratto normativo, Schema di contratto applicativo, e  accerta invece  che il Documento di Gara Unico Europeo - DGUE - è stato allegato non compilato.</w:t>
      </w:r>
    </w:p>
    <w:p w14:paraId="41A1B8FD" w14:textId="77777777" w:rsidR="00253D61" w:rsidRPr="005610AC" w:rsidRDefault="00253D61" w:rsidP="00253D61">
      <w:pPr>
        <w:jc w:val="both"/>
        <w:rPr>
          <w:rFonts w:ascii="Verdana" w:hAnsi="Verdana"/>
          <w:sz w:val="20"/>
          <w:szCs w:val="20"/>
        </w:rPr>
      </w:pPr>
      <w:r w:rsidRPr="005610AC">
        <w:rPr>
          <w:rFonts w:ascii="Verdana" w:hAnsi="Verdana"/>
          <w:sz w:val="20"/>
          <w:szCs w:val="20"/>
        </w:rPr>
        <w:t>Quindi, ai sensi dell’art. 83 -comma 9- del Codice dei Contratti Pubblici, il Seggio di Gara mediante il soccorso istruttorio, chiede tempestivamente al concorrente SA.MI. SRL che siano allegati in MePA i predetti documenti a pena di esclusione dalla gara, decidendo che tale adempimento debba essere espletato entro le ore 12.00 del 15 ottobre 2021.</w:t>
      </w:r>
    </w:p>
    <w:p w14:paraId="7442A63C" w14:textId="77777777" w:rsidR="00253D61" w:rsidRPr="005610AC" w:rsidRDefault="00253D61" w:rsidP="00253D61">
      <w:pPr>
        <w:jc w:val="both"/>
        <w:rPr>
          <w:rFonts w:ascii="Verdana" w:hAnsi="Verdana"/>
          <w:sz w:val="20"/>
          <w:szCs w:val="20"/>
        </w:rPr>
      </w:pPr>
      <w:r w:rsidRPr="005610AC">
        <w:rPr>
          <w:rFonts w:ascii="Verdana" w:hAnsi="Verdana"/>
          <w:sz w:val="20"/>
          <w:szCs w:val="20"/>
        </w:rPr>
        <w:t>Il Seggio di Gara dispone inoltre che la medesima richiesta di allegazione documentale sia inviata dall’UTR a mezzo PEC alla SA.MI. SRL entro il giorno odierno.</w:t>
      </w:r>
    </w:p>
    <w:p w14:paraId="3BF05451" w14:textId="77777777" w:rsidR="00253D61" w:rsidRPr="005610AC" w:rsidRDefault="00253D61" w:rsidP="00253D61">
      <w:pPr>
        <w:jc w:val="both"/>
        <w:rPr>
          <w:rFonts w:ascii="Verdana" w:hAnsi="Verdana"/>
          <w:sz w:val="20"/>
          <w:szCs w:val="20"/>
        </w:rPr>
      </w:pPr>
      <w:r w:rsidRPr="005610AC">
        <w:rPr>
          <w:rFonts w:ascii="Verdana" w:hAnsi="Verdana"/>
          <w:sz w:val="20"/>
          <w:szCs w:val="20"/>
        </w:rPr>
        <w:t xml:space="preserve">Il Presidente del Seggio di Gara, in attesa dell’esito del soccorso istruttorio, </w:t>
      </w:r>
      <w:r w:rsidRPr="005610AC">
        <w:rPr>
          <w:rFonts w:ascii="Verdana" w:eastAsia="Times New Roman" w:hAnsi="Verdana" w:cs="Times New Roman"/>
          <w:sz w:val="20"/>
          <w:szCs w:val="20"/>
          <w:lang w:eastAsia="it-IT"/>
        </w:rPr>
        <w:t>dichiara di sospendere la seduta in data odierna (0</w:t>
      </w:r>
      <w:r w:rsidRPr="005610AC">
        <w:rPr>
          <w:rFonts w:ascii="Verdana" w:hAnsi="Verdana"/>
          <w:sz w:val="20"/>
          <w:szCs w:val="20"/>
        </w:rPr>
        <w:t>5.10.2021) v</w:t>
      </w:r>
      <w:r w:rsidRPr="005610AC">
        <w:rPr>
          <w:rFonts w:ascii="Verdana" w:eastAsia="Times New Roman" w:hAnsi="Verdana" w:cs="Times New Roman"/>
          <w:sz w:val="20"/>
          <w:szCs w:val="20"/>
          <w:lang w:eastAsia="it-IT"/>
        </w:rPr>
        <w:t>erso</w:t>
      </w:r>
      <w:r w:rsidRPr="005610AC">
        <w:rPr>
          <w:rFonts w:ascii="Verdana" w:hAnsi="Verdana"/>
          <w:sz w:val="20"/>
          <w:szCs w:val="20"/>
        </w:rPr>
        <w:t xml:space="preserve"> le ore 11.30.</w:t>
      </w:r>
    </w:p>
    <w:p w14:paraId="0DDF7F78" w14:textId="77777777" w:rsidR="00253D61" w:rsidRPr="005610AC" w:rsidRDefault="00253D61" w:rsidP="00253D61">
      <w:pPr>
        <w:shd w:val="clear" w:color="auto" w:fill="FFFFFF"/>
        <w:spacing w:before="60" w:after="60" w:line="360" w:lineRule="auto"/>
        <w:jc w:val="both"/>
        <w:rPr>
          <w:rFonts w:ascii="Verdana" w:hAnsi="Verdana"/>
          <w:sz w:val="20"/>
          <w:szCs w:val="20"/>
        </w:rPr>
      </w:pPr>
      <w:r w:rsidRPr="005610AC">
        <w:rPr>
          <w:rFonts w:ascii="Verdana" w:hAnsi="Verdana"/>
          <w:sz w:val="20"/>
          <w:szCs w:val="20"/>
        </w:rPr>
        <w:t xml:space="preserve"> </w:t>
      </w:r>
    </w:p>
    <w:p w14:paraId="5229E27A" w14:textId="77777777" w:rsidR="00253D61" w:rsidRPr="005610AC" w:rsidRDefault="00253D61" w:rsidP="00253D61">
      <w:pPr>
        <w:spacing w:after="100" w:afterAutospacing="1"/>
        <w:jc w:val="both"/>
        <w:rPr>
          <w:rFonts w:ascii="Verdana" w:hAnsi="Verdana"/>
          <w:b/>
          <w:bCs/>
          <w:sz w:val="20"/>
          <w:szCs w:val="20"/>
        </w:rPr>
      </w:pPr>
      <w:r w:rsidRPr="005610AC">
        <w:rPr>
          <w:rFonts w:ascii="Verdana" w:hAnsi="Verdana"/>
          <w:b/>
          <w:bCs/>
          <w:sz w:val="20"/>
          <w:szCs w:val="20"/>
        </w:rPr>
        <w:t>Letto, confermato e sottoscritto.</w:t>
      </w:r>
    </w:p>
    <w:p w14:paraId="2BE251E4" w14:textId="77777777" w:rsidR="00253D61" w:rsidRPr="005610AC" w:rsidRDefault="00253D61" w:rsidP="00253D61">
      <w:pPr>
        <w:spacing w:after="100" w:afterAutospacing="1"/>
        <w:jc w:val="both"/>
        <w:rPr>
          <w:rFonts w:ascii="Verdana" w:hAnsi="Verdana"/>
          <w:sz w:val="20"/>
          <w:szCs w:val="20"/>
        </w:rPr>
      </w:pPr>
      <w:r w:rsidRPr="005610AC">
        <w:rPr>
          <w:rFonts w:ascii="Verdana" w:hAnsi="Verdana"/>
          <w:sz w:val="20"/>
          <w:szCs w:val="20"/>
        </w:rPr>
        <w:t>Il Seggio di Gara:</w:t>
      </w:r>
    </w:p>
    <w:p w14:paraId="246C5D10"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il Presidente del Seggio di Gara - Dr. Antonino Giuseppe Rizzo ____________</w:t>
      </w:r>
    </w:p>
    <w:p w14:paraId="6C3B025B" w14:textId="77777777" w:rsidR="00253D61" w:rsidRPr="005610AC" w:rsidRDefault="00253D61" w:rsidP="00253D61">
      <w:pPr>
        <w:spacing w:after="100" w:afterAutospacing="1"/>
        <w:jc w:val="both"/>
        <w:rPr>
          <w:rFonts w:ascii="Verdana" w:hAnsi="Verdana"/>
          <w:sz w:val="20"/>
          <w:szCs w:val="20"/>
        </w:rPr>
      </w:pPr>
    </w:p>
    <w:p w14:paraId="2ED64B34"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il Componente del Seggio di Gara - Dr. Guido Luca Brunello ______________________</w:t>
      </w:r>
    </w:p>
    <w:p w14:paraId="6E0FE454" w14:textId="77777777" w:rsidR="00253D61" w:rsidRPr="005610AC" w:rsidRDefault="00253D61" w:rsidP="00253D61">
      <w:pPr>
        <w:spacing w:after="0" w:line="240" w:lineRule="auto"/>
        <w:jc w:val="both"/>
        <w:rPr>
          <w:rFonts w:ascii="Verdana" w:hAnsi="Verdana"/>
          <w:sz w:val="20"/>
          <w:szCs w:val="20"/>
        </w:rPr>
      </w:pPr>
    </w:p>
    <w:p w14:paraId="72B74D91" w14:textId="77777777" w:rsidR="00253D61" w:rsidRPr="005610AC" w:rsidRDefault="00253D61" w:rsidP="00253D61">
      <w:pPr>
        <w:spacing w:after="0" w:line="240" w:lineRule="auto"/>
        <w:jc w:val="both"/>
        <w:rPr>
          <w:rFonts w:ascii="Verdana" w:hAnsi="Verdana"/>
          <w:sz w:val="20"/>
          <w:szCs w:val="20"/>
        </w:rPr>
      </w:pPr>
    </w:p>
    <w:p w14:paraId="7D27B8F8" w14:textId="77777777" w:rsidR="00253D61" w:rsidRPr="005610AC" w:rsidRDefault="00253D61" w:rsidP="00253D61">
      <w:pPr>
        <w:spacing w:after="0" w:line="240" w:lineRule="auto"/>
        <w:jc w:val="both"/>
        <w:rPr>
          <w:rFonts w:ascii="Verdana" w:hAnsi="Verdana"/>
          <w:sz w:val="20"/>
          <w:szCs w:val="20"/>
        </w:rPr>
      </w:pPr>
    </w:p>
    <w:p w14:paraId="77F007B0"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il Componente del Seggio di Gara - Arch. Marcello Perazzo ____________________</w:t>
      </w:r>
    </w:p>
    <w:p w14:paraId="4E63E60B"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 xml:space="preserve"> </w:t>
      </w:r>
    </w:p>
    <w:p w14:paraId="697D1E9E"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 xml:space="preserve">  </w:t>
      </w:r>
    </w:p>
    <w:p w14:paraId="000C7F73"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 xml:space="preserve"> </w:t>
      </w:r>
    </w:p>
    <w:p w14:paraId="7A820F67" w14:textId="77777777" w:rsidR="00253D61" w:rsidRPr="005610AC" w:rsidRDefault="00253D61" w:rsidP="00253D61">
      <w:pPr>
        <w:spacing w:after="0" w:line="240" w:lineRule="auto"/>
        <w:jc w:val="both"/>
        <w:rPr>
          <w:rFonts w:ascii="Verdana" w:hAnsi="Verdana"/>
          <w:sz w:val="20"/>
          <w:szCs w:val="20"/>
        </w:rPr>
      </w:pPr>
      <w:r w:rsidRPr="005610AC">
        <w:rPr>
          <w:rFonts w:ascii="Verdana" w:hAnsi="Verdana"/>
          <w:sz w:val="20"/>
          <w:szCs w:val="20"/>
        </w:rPr>
        <w:t>La segretaria del Seggio di Gara - Dr.ssa Cinzia Nigris _______________________</w:t>
      </w:r>
    </w:p>
    <w:p w14:paraId="6A95DE33" w14:textId="77777777" w:rsidR="00253D61" w:rsidRPr="005610AC" w:rsidRDefault="00253D61" w:rsidP="00253D61">
      <w:pPr>
        <w:spacing w:after="0" w:line="240" w:lineRule="auto"/>
        <w:jc w:val="both"/>
        <w:rPr>
          <w:rFonts w:ascii="Verdana" w:hAnsi="Verdana"/>
          <w:sz w:val="20"/>
          <w:szCs w:val="20"/>
        </w:rPr>
      </w:pPr>
    </w:p>
    <w:p w14:paraId="127A34DB" w14:textId="77777777" w:rsidR="00253D61" w:rsidRPr="005610AC" w:rsidRDefault="00253D61" w:rsidP="00253D61">
      <w:pPr>
        <w:spacing w:after="0" w:line="240" w:lineRule="auto"/>
        <w:jc w:val="both"/>
        <w:rPr>
          <w:rFonts w:ascii="Verdana" w:hAnsi="Verdana"/>
          <w:sz w:val="20"/>
          <w:szCs w:val="20"/>
        </w:rPr>
      </w:pPr>
    </w:p>
    <w:p w14:paraId="40FE0E5E" w14:textId="08F6F1C3" w:rsidR="00253D61" w:rsidRDefault="00253D61" w:rsidP="00253D61">
      <w:r>
        <w:t>I</w:t>
      </w:r>
      <w:r>
        <w:t>l documento è in copia, l’originale è regolarmente sottoscritto da tutti i soggetti.</w:t>
      </w:r>
    </w:p>
    <w:p w14:paraId="0FB94ED2" w14:textId="77777777" w:rsidR="00212431" w:rsidRDefault="00212431"/>
    <w:sectPr w:rsidR="00212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321"/>
    <w:multiLevelType w:val="hybridMultilevel"/>
    <w:tmpl w:val="0016A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D0"/>
    <w:rsid w:val="001063D0"/>
    <w:rsid w:val="00212431"/>
    <w:rsid w:val="00253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E9DD"/>
  <w15:chartTrackingRefBased/>
  <w15:docId w15:val="{49D16D57-930D-4797-B854-E51BA75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3D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D6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Nigris Cinzia</dc:creator>
  <cp:keywords/>
  <dc:description/>
  <cp:lastModifiedBy>Nigris Cinzia</cp:lastModifiedBy>
  <cp:revision>2</cp:revision>
  <dcterms:created xsi:type="dcterms:W3CDTF">2022-01-28T10:50:00Z</dcterms:created>
  <dcterms:modified xsi:type="dcterms:W3CDTF">2022-01-28T10:51:00Z</dcterms:modified>
</cp:coreProperties>
</file>