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E6A8" w14:textId="77777777" w:rsidR="00F07596" w:rsidRDefault="00F07596" w:rsidP="00F07596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VERBALE N. 2 DEL 19.10.2021</w:t>
      </w:r>
    </w:p>
    <w:p w14:paraId="09D36A77" w14:textId="77777777" w:rsidR="00F07596" w:rsidRDefault="00F07596" w:rsidP="00F07596">
      <w:pPr>
        <w:spacing w:after="0"/>
        <w:ind w:hanging="142"/>
        <w:jc w:val="both"/>
        <w:rPr>
          <w:rFonts w:ascii="Verdana" w:hAnsi="Verdana"/>
          <w:sz w:val="20"/>
          <w:szCs w:val="20"/>
        </w:rPr>
      </w:pPr>
    </w:p>
    <w:p w14:paraId="0EA809E3" w14:textId="77777777" w:rsidR="00F07596" w:rsidRDefault="00F07596" w:rsidP="00F07596">
      <w:pPr>
        <w:spacing w:after="0"/>
        <w:ind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delle operazioni della procedura negoziata sulla piattaforma MEPA per l’affidamento di un </w:t>
      </w:r>
      <w:r>
        <w:rPr>
          <w:rFonts w:ascii="Verdana" w:eastAsia="Times New Roman" w:hAnsi="Verdana"/>
          <w:sz w:val="20"/>
          <w:szCs w:val="20"/>
        </w:rPr>
        <w:t xml:space="preserve">Accordo Quadro </w:t>
      </w:r>
      <w:r>
        <w:rPr>
          <w:rFonts w:ascii="Verdana" w:hAnsi="Verdana"/>
          <w:sz w:val="20"/>
          <w:szCs w:val="20"/>
        </w:rPr>
        <w:t xml:space="preserve">per opere edili e affini di manutenzione straordinaria </w:t>
      </w:r>
      <w:r>
        <w:rPr>
          <w:rFonts w:ascii="Verdana" w:eastAsia="Times New Roman" w:hAnsi="Verdana" w:cs="Times New Roman"/>
          <w:spacing w:val="4"/>
          <w:sz w:val="20"/>
          <w:szCs w:val="20"/>
          <w:lang w:eastAsia="it-IT"/>
        </w:rPr>
        <w:t xml:space="preserve">inquadrate nella categoria OG 1 Edifici civili e industriali, classifica </w:t>
      </w:r>
      <w:r>
        <w:rPr>
          <w:rFonts w:ascii="Verdana" w:hAnsi="Verdana" w:cs="Arial"/>
          <w:sz w:val="20"/>
          <w:szCs w:val="20"/>
          <w:lang w:val="en"/>
        </w:rPr>
        <w:t xml:space="preserve">III, </w:t>
      </w:r>
      <w:r>
        <w:rPr>
          <w:rFonts w:ascii="Verdana" w:hAnsi="Verdana"/>
          <w:sz w:val="20"/>
          <w:szCs w:val="20"/>
        </w:rPr>
        <w:t xml:space="preserve">dello stabile di proprietà dell’Istituto, da destinare a sede della Direzione </w:t>
      </w:r>
      <w:r>
        <w:rPr>
          <w:rFonts w:ascii="Verdana" w:hAnsi="Verdana"/>
          <w:bCs/>
          <w:sz w:val="20"/>
          <w:szCs w:val="20"/>
        </w:rPr>
        <w:t>Provinciale</w:t>
      </w:r>
      <w:r>
        <w:rPr>
          <w:rFonts w:ascii="Verdana" w:hAnsi="Verdana"/>
          <w:sz w:val="20"/>
          <w:szCs w:val="20"/>
        </w:rPr>
        <w:t xml:space="preserve"> INPS di Trieste, in via Lorenzo Ghiberti n. 4 in Trieste, di cui al CIG 8865119F9D e CUP F97H21005150005.</w:t>
      </w:r>
    </w:p>
    <w:p w14:paraId="5F8FF4D9" w14:textId="77777777" w:rsidR="00F07596" w:rsidRDefault="00F07596" w:rsidP="00F07596">
      <w:pPr>
        <w:spacing w:after="0"/>
        <w:ind w:hanging="142"/>
        <w:jc w:val="both"/>
        <w:rPr>
          <w:rFonts w:ascii="Verdana" w:hAnsi="Verdana"/>
          <w:sz w:val="20"/>
          <w:szCs w:val="20"/>
        </w:rPr>
      </w:pPr>
    </w:p>
    <w:p w14:paraId="30B10931" w14:textId="77777777" w:rsidR="00F07596" w:rsidRDefault="00F07596" w:rsidP="00F07596">
      <w:pPr>
        <w:spacing w:after="0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Richiamato il Verbale n. 1 del giorno 5.10.2021;</w:t>
      </w:r>
    </w:p>
    <w:p w14:paraId="12BA66E8" w14:textId="77777777" w:rsidR="00F07596" w:rsidRDefault="00F07596" w:rsidP="00F0759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Considerato</w:t>
      </w:r>
    </w:p>
    <w:p w14:paraId="140A9E69" w14:textId="77777777" w:rsidR="00F07596" w:rsidRDefault="00F07596" w:rsidP="00F0759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la società </w:t>
      </w:r>
      <w:r>
        <w:rPr>
          <w:rFonts w:ascii="Verdana" w:hAnsi="Verdana"/>
          <w:color w:val="333333"/>
          <w:sz w:val="20"/>
          <w:szCs w:val="20"/>
        </w:rPr>
        <w:t xml:space="preserve">SA.MI. S.R.L. entro il termine prestabilito, cioè </w:t>
      </w:r>
      <w:r>
        <w:rPr>
          <w:rFonts w:ascii="Verdana" w:hAnsi="Verdana"/>
          <w:sz w:val="20"/>
          <w:szCs w:val="20"/>
        </w:rPr>
        <w:t xml:space="preserve">entro le ore 12.00 del </w:t>
      </w:r>
      <w:r w:rsidRPr="005824B3">
        <w:rPr>
          <w:rFonts w:ascii="Verdana" w:hAnsi="Verdana"/>
          <w:sz w:val="20"/>
          <w:szCs w:val="20"/>
        </w:rPr>
        <w:t xml:space="preserve">15 ottobre 2021, </w:t>
      </w:r>
      <w:r w:rsidRPr="005824B3">
        <w:rPr>
          <w:rFonts w:ascii="Verdana" w:hAnsi="Verdana"/>
          <w:color w:val="333333"/>
          <w:sz w:val="20"/>
          <w:szCs w:val="20"/>
        </w:rPr>
        <w:t xml:space="preserve">ha prodotto la documentazione richiesta dal Seggio di Gara, </w:t>
      </w:r>
      <w:r w:rsidRPr="005824B3">
        <w:rPr>
          <w:rFonts w:ascii="Verdana" w:hAnsi="Verdana"/>
          <w:sz w:val="20"/>
          <w:szCs w:val="20"/>
        </w:rPr>
        <w:t xml:space="preserve">ai sensi dell’art. 83 -comma 9- del Codice dei Contratti Pubblici, </w:t>
      </w:r>
      <w:r>
        <w:rPr>
          <w:rFonts w:ascii="Verdana" w:hAnsi="Verdana"/>
          <w:sz w:val="20"/>
          <w:szCs w:val="20"/>
        </w:rPr>
        <w:t xml:space="preserve">tenendo conto che </w:t>
      </w:r>
      <w:r w:rsidRPr="005824B3">
        <w:rPr>
          <w:rFonts w:ascii="Verdana" w:hAnsi="Verdana"/>
          <w:sz w:val="20"/>
          <w:szCs w:val="20"/>
        </w:rPr>
        <w:t>la medesima ha adempiuto alle ore 09:38 del giorno 07.10.2021, così come risulta registrato sulla piattaforma MEPA;</w:t>
      </w:r>
    </w:p>
    <w:p w14:paraId="766BEA99" w14:textId="77777777" w:rsidR="00F07596" w:rsidRDefault="00F07596" w:rsidP="00F07596">
      <w:pPr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</w:t>
      </w:r>
      <w:r>
        <w:rPr>
          <w:rFonts w:ascii="Verdana" w:hAnsi="Verdana"/>
          <w:color w:val="333333"/>
          <w:sz w:val="20"/>
          <w:szCs w:val="20"/>
        </w:rPr>
        <w:t>il giorno 18 ottobre u.s. mediante la piattaforma MEPA e mediante una comunicazione PEC, il RUP, Arch. Marcello Perazzo, ha comunicato al</w:t>
      </w:r>
      <w:r>
        <w:rPr>
          <w:rFonts w:ascii="Verdana" w:hAnsi="Verdana"/>
          <w:sz w:val="20"/>
          <w:szCs w:val="20"/>
        </w:rPr>
        <w:t xml:space="preserve">la società </w:t>
      </w:r>
      <w:r>
        <w:rPr>
          <w:rFonts w:ascii="Verdana" w:hAnsi="Verdana"/>
          <w:color w:val="333333"/>
          <w:sz w:val="20"/>
          <w:szCs w:val="20"/>
        </w:rPr>
        <w:t xml:space="preserve">SA.MI. S.R.L. che il Seggio di Gara si riunirà in seduta pubblica il giorno 19.10.2021 alle ore 10:30; </w:t>
      </w:r>
    </w:p>
    <w:p w14:paraId="2513E239" w14:textId="77777777" w:rsidR="00F07596" w:rsidRDefault="00F07596" w:rsidP="00F07596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che sono state acquisite d’ufficio le dichiarazioni dei componenti del </w:t>
      </w:r>
      <w:r>
        <w:rPr>
          <w:rFonts w:ascii="Verdana" w:hAnsi="Verdana" w:cs="Calibri"/>
          <w:sz w:val="20"/>
          <w:szCs w:val="20"/>
        </w:rPr>
        <w:t xml:space="preserve">Seggio di Gara in relazione alla assenza di cause di incompatibilità con il ruolo </w:t>
      </w:r>
      <w:r>
        <w:rPr>
          <w:rFonts w:ascii="Verdana" w:hAnsi="Verdana"/>
          <w:color w:val="333333"/>
          <w:sz w:val="20"/>
          <w:szCs w:val="20"/>
        </w:rPr>
        <w:t xml:space="preserve">di componente del </w:t>
      </w:r>
      <w:r>
        <w:rPr>
          <w:rFonts w:ascii="Verdana" w:hAnsi="Verdana" w:cs="Calibri"/>
          <w:sz w:val="20"/>
          <w:szCs w:val="20"/>
        </w:rPr>
        <w:t>Seggio di Gara;</w:t>
      </w:r>
    </w:p>
    <w:p w14:paraId="06DA7B41" w14:textId="77777777" w:rsidR="00F07596" w:rsidRDefault="00F07596" w:rsidP="00F07596">
      <w:pPr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it-IT"/>
        </w:rPr>
        <w:t>Un tanto premesso</w:t>
      </w:r>
      <w:r>
        <w:rPr>
          <w:rFonts w:ascii="Verdana" w:eastAsia="Times New Roman" w:hAnsi="Verdana" w:cs="Times New Roman"/>
          <w:spacing w:val="4"/>
          <w:sz w:val="20"/>
          <w:szCs w:val="20"/>
          <w:lang w:eastAsia="it-IT"/>
        </w:rPr>
        <w:t>,</w:t>
      </w:r>
    </w:p>
    <w:p w14:paraId="06B7183A" w14:textId="77777777" w:rsidR="00F07596" w:rsidRDefault="00F07596" w:rsidP="00F07596">
      <w:pPr>
        <w:tabs>
          <w:tab w:val="left" w:pos="4536"/>
        </w:tabs>
        <w:spacing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04F3D">
        <w:rPr>
          <w:rFonts w:ascii="Verdana" w:hAnsi="Verdana" w:cs="Calibri"/>
          <w:sz w:val="20"/>
          <w:szCs w:val="20"/>
        </w:rPr>
        <w:t>Oggi alle ore 10:30 del giorno 19 ottobre 2021 il Seggio di Gara nominato con la determinazione regionale n.133 del 05.10.2021 si riunisce negli Uffici della Direzione regionale</w:t>
      </w:r>
      <w:r>
        <w:rPr>
          <w:rFonts w:ascii="Verdana" w:hAnsi="Verdana" w:cs="Calibri"/>
          <w:sz w:val="20"/>
          <w:szCs w:val="20"/>
        </w:rPr>
        <w:t xml:space="preserve"> INPS FVG, al sesto piano in via Cesare Battisti n. 10 Trieste, ribadendo che tale organo è così composto:</w:t>
      </w:r>
      <w:r>
        <w:rPr>
          <w:rFonts w:ascii="Verdana" w:hAnsi="Verdana"/>
          <w:sz w:val="20"/>
          <w:szCs w:val="20"/>
        </w:rPr>
        <w:t xml:space="preserve"> </w:t>
      </w:r>
    </w:p>
    <w:p w14:paraId="3929119B" w14:textId="77777777" w:rsidR="00F07596" w:rsidRDefault="00F07596" w:rsidP="00F07596">
      <w:pPr>
        <w:tabs>
          <w:tab w:val="left" w:pos="1276"/>
          <w:tab w:val="left" w:pos="4536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 w:cs="Calibri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r. Antonino Giuseppe Rizzo quale Presidente del Seggio di Gara </w:t>
      </w:r>
    </w:p>
    <w:p w14:paraId="77954B69" w14:textId="77777777" w:rsidR="00F07596" w:rsidRDefault="00F07596" w:rsidP="00F07596">
      <w:pPr>
        <w:tabs>
          <w:tab w:val="left" w:pos="1276"/>
          <w:tab w:val="left" w:pos="4536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-dr. Guido Luca Brunello quale componente dello stesso</w:t>
      </w:r>
    </w:p>
    <w:p w14:paraId="357AEEC3" w14:textId="77777777" w:rsidR="00F07596" w:rsidRDefault="00F07596" w:rsidP="00F07596">
      <w:pPr>
        <w:tabs>
          <w:tab w:val="left" w:pos="1276"/>
          <w:tab w:val="left" w:pos="4536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Arch. Marcello Perazzo quale componente dello stesso</w:t>
      </w:r>
    </w:p>
    <w:p w14:paraId="48266CCE" w14:textId="77777777" w:rsidR="00F07596" w:rsidRDefault="00F07596" w:rsidP="00F07596">
      <w:pPr>
        <w:tabs>
          <w:tab w:val="left" w:pos="1276"/>
          <w:tab w:val="left" w:pos="4536"/>
        </w:tabs>
        <w:spacing w:line="240" w:lineRule="auto"/>
        <w:jc w:val="both"/>
        <w:rPr>
          <w:rFonts w:ascii="Verdana" w:hAnsi="Verdana" w:cs="Arial Narrow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che con </w:t>
      </w:r>
      <w:proofErr w:type="gramStart"/>
      <w:r>
        <w:rPr>
          <w:rFonts w:ascii="Verdana" w:hAnsi="Verdana"/>
          <w:sz w:val="20"/>
          <w:szCs w:val="20"/>
        </w:rPr>
        <w:t xml:space="preserve">la  </w:t>
      </w:r>
      <w:r>
        <w:rPr>
          <w:rFonts w:ascii="Verdana" w:hAnsi="Verdana" w:cs="Calibri"/>
          <w:sz w:val="20"/>
          <w:szCs w:val="20"/>
        </w:rPr>
        <w:t>determinazione</w:t>
      </w:r>
      <w:proofErr w:type="gramEnd"/>
      <w:r>
        <w:rPr>
          <w:rFonts w:ascii="Verdana" w:hAnsi="Verdana" w:cs="Calibri"/>
          <w:sz w:val="20"/>
          <w:szCs w:val="20"/>
        </w:rPr>
        <w:t xml:space="preserve"> regionale n. 133 del 05.10.2021 è stata, altresì,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>
        <w:rPr>
          <w:rFonts w:ascii="Verdana" w:eastAsia="Calibri" w:hAnsi="Verdana" w:cs="Arial"/>
          <w:color w:val="000000" w:themeColor="text1"/>
          <w:sz w:val="20"/>
          <w:szCs w:val="20"/>
        </w:rPr>
        <w:t xml:space="preserve">nominata </w:t>
      </w:r>
      <w:r>
        <w:rPr>
          <w:rFonts w:ascii="Verdana" w:hAnsi="Verdana"/>
          <w:sz w:val="20"/>
          <w:szCs w:val="20"/>
        </w:rPr>
        <w:t xml:space="preserve">la dr.ssa </w:t>
      </w:r>
      <w:r>
        <w:rPr>
          <w:rFonts w:ascii="Verdana" w:hAnsi="Verdana" w:cs="Arial Narrow"/>
          <w:sz w:val="20"/>
          <w:szCs w:val="20"/>
        </w:rPr>
        <w:t xml:space="preserve">Cinzia Nigris quale segretaria verbalizzante delle operazioni del Seggio di Gara. </w:t>
      </w:r>
    </w:p>
    <w:p w14:paraId="0528FCFF" w14:textId="77777777" w:rsidR="00F07596" w:rsidRDefault="00F07596" w:rsidP="00F07596">
      <w:pPr>
        <w:tabs>
          <w:tab w:val="left" w:pos="4536"/>
        </w:tabs>
        <w:spacing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B83AFF">
        <w:rPr>
          <w:rFonts w:ascii="Verdana" w:hAnsi="Verdana" w:cs="Calibri"/>
          <w:sz w:val="20"/>
          <w:szCs w:val="20"/>
        </w:rPr>
        <w:t xml:space="preserve">Il Presidente del Seggio di Gara dichiara aperta la seduta pubblica; si constata che </w:t>
      </w:r>
      <w:r w:rsidRPr="00B83AFF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società </w:t>
      </w:r>
      <w:r>
        <w:rPr>
          <w:rFonts w:ascii="Verdana" w:hAnsi="Verdana"/>
          <w:color w:val="333333"/>
          <w:sz w:val="20"/>
          <w:szCs w:val="20"/>
        </w:rPr>
        <w:t>SA.MI. S.R.L. ha prodotto la documentazione richiesta in base al soccorso istruttorio:</w:t>
      </w:r>
    </w:p>
    <w:p w14:paraId="107E742B" w14:textId="77777777" w:rsidR="00F07596" w:rsidRPr="00036814" w:rsidRDefault="00F07596" w:rsidP="00F07596">
      <w:pPr>
        <w:pStyle w:val="Paragrafoelenco"/>
        <w:numPr>
          <w:ilvl w:val="0"/>
          <w:numId w:val="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036814">
        <w:rPr>
          <w:rFonts w:ascii="Verdana" w:hAnsi="Verdana"/>
          <w:sz w:val="20"/>
          <w:szCs w:val="20"/>
        </w:rPr>
        <w:t xml:space="preserve">disciplinare di gara </w:t>
      </w:r>
    </w:p>
    <w:p w14:paraId="5E3B4B91" w14:textId="77777777" w:rsidR="00F07596" w:rsidRPr="00036814" w:rsidRDefault="00F07596" w:rsidP="00F07596">
      <w:pPr>
        <w:pStyle w:val="Paragrafoelenco"/>
        <w:numPr>
          <w:ilvl w:val="0"/>
          <w:numId w:val="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036814">
        <w:rPr>
          <w:rFonts w:ascii="Verdana" w:hAnsi="Verdana"/>
          <w:sz w:val="20"/>
          <w:szCs w:val="20"/>
        </w:rPr>
        <w:t>schema di contratto normativo</w:t>
      </w:r>
    </w:p>
    <w:p w14:paraId="23CEF17D" w14:textId="77777777" w:rsidR="00F07596" w:rsidRPr="00036814" w:rsidRDefault="00F07596" w:rsidP="00F07596">
      <w:pPr>
        <w:pStyle w:val="Paragrafoelenco"/>
        <w:numPr>
          <w:ilvl w:val="0"/>
          <w:numId w:val="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036814">
        <w:rPr>
          <w:rFonts w:ascii="Verdana" w:hAnsi="Verdana"/>
          <w:sz w:val="20"/>
          <w:szCs w:val="20"/>
        </w:rPr>
        <w:t>schema di contratto applicativo</w:t>
      </w:r>
    </w:p>
    <w:p w14:paraId="55130CE5" w14:textId="77777777" w:rsidR="00F07596" w:rsidRPr="00036814" w:rsidRDefault="00F07596" w:rsidP="00F07596">
      <w:pPr>
        <w:pStyle w:val="Paragrafoelenco"/>
        <w:numPr>
          <w:ilvl w:val="0"/>
          <w:numId w:val="1"/>
        </w:numPr>
        <w:spacing w:after="160" w:line="259" w:lineRule="auto"/>
        <w:rPr>
          <w:rFonts w:ascii="Verdana" w:hAnsi="Verdana"/>
          <w:sz w:val="20"/>
          <w:szCs w:val="20"/>
        </w:rPr>
      </w:pPr>
      <w:proofErr w:type="spellStart"/>
      <w:r w:rsidRPr="00036814">
        <w:rPr>
          <w:rFonts w:ascii="Verdana" w:hAnsi="Verdana"/>
          <w:sz w:val="20"/>
          <w:szCs w:val="20"/>
        </w:rPr>
        <w:t>dgue</w:t>
      </w:r>
      <w:proofErr w:type="spellEnd"/>
      <w:r w:rsidRPr="00036814">
        <w:rPr>
          <w:rFonts w:ascii="Verdana" w:hAnsi="Verdana"/>
          <w:sz w:val="20"/>
          <w:szCs w:val="20"/>
        </w:rPr>
        <w:t xml:space="preserve"> (documento gar</w:t>
      </w:r>
      <w:r>
        <w:rPr>
          <w:rFonts w:ascii="Verdana" w:hAnsi="Verdana"/>
          <w:sz w:val="20"/>
          <w:szCs w:val="20"/>
        </w:rPr>
        <w:t>a</w:t>
      </w:r>
      <w:r w:rsidRPr="00036814">
        <w:rPr>
          <w:rFonts w:ascii="Verdana" w:hAnsi="Verdana"/>
          <w:sz w:val="20"/>
          <w:szCs w:val="20"/>
        </w:rPr>
        <w:t xml:space="preserve"> unico europeo)</w:t>
      </w:r>
    </w:p>
    <w:p w14:paraId="56E287C7" w14:textId="77777777" w:rsidR="00F07596" w:rsidRDefault="00F07596" w:rsidP="00F07596">
      <w:pPr>
        <w:spacing w:before="120"/>
        <w:jc w:val="both"/>
        <w:rPr>
          <w:rFonts w:ascii="Verdana" w:hAnsi="Verdana"/>
          <w:sz w:val="20"/>
          <w:szCs w:val="20"/>
        </w:rPr>
      </w:pPr>
      <w:r w:rsidRPr="00B83AFF">
        <w:rPr>
          <w:rFonts w:ascii="Verdana" w:hAnsi="Verdana"/>
          <w:sz w:val="20"/>
          <w:szCs w:val="20"/>
        </w:rPr>
        <w:t xml:space="preserve">La </w:t>
      </w:r>
      <w:proofErr w:type="gramStart"/>
      <w:r w:rsidRPr="00B83AFF">
        <w:rPr>
          <w:rFonts w:ascii="Verdana" w:hAnsi="Verdana"/>
          <w:sz w:val="20"/>
          <w:szCs w:val="20"/>
        </w:rPr>
        <w:t>predetta</w:t>
      </w:r>
      <w:proofErr w:type="gramEnd"/>
      <w:r w:rsidRPr="00B83AFF">
        <w:rPr>
          <w:rFonts w:ascii="Verdana" w:hAnsi="Verdana"/>
          <w:sz w:val="20"/>
          <w:szCs w:val="20"/>
        </w:rPr>
        <w:t xml:space="preserve"> documentazione </w:t>
      </w:r>
      <w:r>
        <w:rPr>
          <w:rFonts w:ascii="Verdana" w:hAnsi="Verdana"/>
          <w:sz w:val="20"/>
          <w:szCs w:val="20"/>
        </w:rPr>
        <w:t>viene esaminata dal Seggio di Gara, che ne constata la regolarità anche in relazione alla apposizione della firma digitale.</w:t>
      </w:r>
    </w:p>
    <w:p w14:paraId="4B7FCE49" w14:textId="77777777" w:rsidR="00F07596" w:rsidRDefault="00F07596" w:rsidP="00F0759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Seggio di Gara</w:t>
      </w:r>
      <w:r w:rsidRPr="002872EB">
        <w:rPr>
          <w:rFonts w:ascii="Verdana" w:hAnsi="Verdana"/>
          <w:sz w:val="20"/>
          <w:szCs w:val="20"/>
        </w:rPr>
        <w:t xml:space="preserve"> dichiara</w:t>
      </w:r>
      <w:r>
        <w:rPr>
          <w:rFonts w:ascii="Verdana" w:hAnsi="Verdana"/>
          <w:sz w:val="20"/>
          <w:szCs w:val="20"/>
        </w:rPr>
        <w:t xml:space="preserve"> </w:t>
      </w:r>
      <w:r w:rsidRPr="002872EB">
        <w:rPr>
          <w:rFonts w:ascii="Verdana" w:hAnsi="Verdana"/>
          <w:sz w:val="20"/>
          <w:szCs w:val="20"/>
        </w:rPr>
        <w:t>la regolarità</w:t>
      </w:r>
      <w:r>
        <w:rPr>
          <w:rFonts w:ascii="Verdana" w:hAnsi="Verdana"/>
          <w:sz w:val="20"/>
          <w:szCs w:val="20"/>
        </w:rPr>
        <w:t xml:space="preserve"> di tutta la documentazione.</w:t>
      </w:r>
    </w:p>
    <w:p w14:paraId="01199D11" w14:textId="77777777" w:rsidR="00F07596" w:rsidRPr="00B83AFF" w:rsidRDefault="00F07596" w:rsidP="00F0759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Sulla piattaforma MEPA viene tempestivamente comunicato alla società SA.MI. S.R.L. che domani 20.10.2021 alle ore 09:30 il Seggio di Gara si riunirà in seduta pubblica per la valutazione dell’offerta economica.  </w:t>
      </w:r>
    </w:p>
    <w:p w14:paraId="4EAB40C9" w14:textId="77777777" w:rsidR="00F07596" w:rsidRPr="002872EB" w:rsidRDefault="00F07596" w:rsidP="00F0759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Seggio di Gara</w:t>
      </w:r>
      <w:r w:rsidRPr="002872EB">
        <w:rPr>
          <w:rFonts w:ascii="Verdana" w:hAnsi="Verdana"/>
          <w:sz w:val="20"/>
          <w:szCs w:val="20"/>
        </w:rPr>
        <w:t xml:space="preserve"> rimette gli atti alla Stazione Appaltante per il seguito di competenza.</w:t>
      </w:r>
    </w:p>
    <w:p w14:paraId="1AE12DEC" w14:textId="77777777" w:rsidR="00F07596" w:rsidRDefault="00F07596" w:rsidP="00F0759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Presidente del Seggio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dichiara di sospendere la seduta in data odierna (19</w:t>
      </w:r>
      <w:r>
        <w:rPr>
          <w:rFonts w:ascii="Verdana" w:hAnsi="Verdana"/>
          <w:sz w:val="20"/>
          <w:szCs w:val="20"/>
        </w:rPr>
        <w:t>.10.2021) alle ore 11:12.</w:t>
      </w:r>
    </w:p>
    <w:p w14:paraId="4BAB7FF0" w14:textId="77777777" w:rsidR="00F07596" w:rsidRDefault="00F07596" w:rsidP="00F07596">
      <w:pPr>
        <w:shd w:val="clear" w:color="auto" w:fill="FFFFFF"/>
        <w:spacing w:before="60" w:after="6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D5805CA" w14:textId="77777777" w:rsidR="00F07596" w:rsidRDefault="00F07596" w:rsidP="00F07596">
      <w:pPr>
        <w:spacing w:after="100" w:afterAutospacing="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Letto, confermato e sottoscritto.</w:t>
      </w:r>
    </w:p>
    <w:p w14:paraId="04E2C392" w14:textId="77777777" w:rsidR="00F07596" w:rsidRDefault="00F07596" w:rsidP="00F07596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Seggio di Gara:</w:t>
      </w:r>
    </w:p>
    <w:p w14:paraId="0A755976" w14:textId="77777777" w:rsidR="00F07596" w:rsidRDefault="00F07596" w:rsidP="00F07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Presidente del Seggio di Gara - Dr. Antonino Giuseppe Rizzo ____________</w:t>
      </w:r>
    </w:p>
    <w:p w14:paraId="52F5B7CB" w14:textId="77777777" w:rsidR="00F07596" w:rsidRDefault="00F07596" w:rsidP="00F07596">
      <w:pPr>
        <w:spacing w:after="100" w:afterAutospacing="1"/>
        <w:jc w:val="both"/>
        <w:rPr>
          <w:rFonts w:ascii="Verdana" w:hAnsi="Verdana"/>
          <w:sz w:val="20"/>
          <w:szCs w:val="20"/>
        </w:rPr>
      </w:pPr>
    </w:p>
    <w:p w14:paraId="3798BBDE" w14:textId="77777777" w:rsidR="00F07596" w:rsidRDefault="00F07596" w:rsidP="00F07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Componente del Seggio di Gara - Dr. Guido Luca Brunello ______________________</w:t>
      </w:r>
    </w:p>
    <w:p w14:paraId="796BF44F" w14:textId="77777777" w:rsidR="00F07596" w:rsidRDefault="00F07596" w:rsidP="00F07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887189" w14:textId="77777777" w:rsidR="00F07596" w:rsidRDefault="00F07596" w:rsidP="00F07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7871E8" w14:textId="77777777" w:rsidR="00F07596" w:rsidRDefault="00F07596" w:rsidP="00F07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B6A2A7" w14:textId="77777777" w:rsidR="00F07596" w:rsidRDefault="00F07596" w:rsidP="00F07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Componente del Seggio di Gara - Arch. Marcello Perazzo ____________________</w:t>
      </w:r>
    </w:p>
    <w:p w14:paraId="0A8AC48D" w14:textId="77777777" w:rsidR="00F07596" w:rsidRDefault="00F07596" w:rsidP="00F07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8A30D93" w14:textId="77777777" w:rsidR="00F07596" w:rsidRDefault="00F07596" w:rsidP="00F07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724C644A" w14:textId="77777777" w:rsidR="00F07596" w:rsidRDefault="00F07596" w:rsidP="00F07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7B06B4F" w14:textId="77777777" w:rsidR="00F07596" w:rsidRDefault="00F07596" w:rsidP="00F07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segretaria del Seggio di Gara - Dr.ssa Cinzia Nigris _______________________</w:t>
      </w:r>
    </w:p>
    <w:p w14:paraId="46119C6D" w14:textId="77777777" w:rsidR="00F07596" w:rsidRDefault="00F07596" w:rsidP="00F07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AADCA3" w14:textId="77777777" w:rsidR="00F07596" w:rsidRDefault="00F07596" w:rsidP="00F07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DF274B" w14:textId="77777777" w:rsidR="00F07596" w:rsidRDefault="00F07596" w:rsidP="00F07596">
      <w:p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B419C14" w14:textId="7C13E113" w:rsidR="00212431" w:rsidRDefault="00882B5B">
      <w:r>
        <w:t>Il documento è in copia, l’originale è regolarmente sottoscritto da tutti i soggetti.</w:t>
      </w:r>
    </w:p>
    <w:sectPr w:rsidR="00212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321"/>
    <w:multiLevelType w:val="hybridMultilevel"/>
    <w:tmpl w:val="0016A81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69"/>
    <w:rsid w:val="000C4669"/>
    <w:rsid w:val="00212431"/>
    <w:rsid w:val="00882B5B"/>
    <w:rsid w:val="00F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B1F6"/>
  <w15:chartTrackingRefBased/>
  <w15:docId w15:val="{290BC0E4-A2AE-461D-A9F4-5F0E0DD3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59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75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Nigris Cinzia</dc:creator>
  <cp:keywords/>
  <dc:description/>
  <cp:lastModifiedBy>Nigris Cinzia</cp:lastModifiedBy>
  <cp:revision>3</cp:revision>
  <dcterms:created xsi:type="dcterms:W3CDTF">2022-01-28T10:46:00Z</dcterms:created>
  <dcterms:modified xsi:type="dcterms:W3CDTF">2022-01-28T10:47:00Z</dcterms:modified>
</cp:coreProperties>
</file>