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AB3D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801468" wp14:editId="159BCAB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08AA45C4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07431466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33723644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FD2ADB" w14:paraId="0B3BC4BB" w14:textId="77777777" w:rsidTr="00867352">
        <w:tc>
          <w:tcPr>
            <w:tcW w:w="9610" w:type="dxa"/>
          </w:tcPr>
          <w:p w14:paraId="3F98A4CC" w14:textId="77777777" w:rsidR="00527B3B" w:rsidRPr="00FD2ADB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FD2ADB">
              <w:rPr>
                <w:rFonts w:ascii="Verdana" w:hAnsi="Verdana" w:cs="Verdana"/>
                <w:b w:val="0"/>
                <w:sz w:val="20"/>
                <w:szCs w:val="20"/>
              </w:rPr>
              <w:t>ISTITUTO NAZIONALE PREVIDENZA SOCIALE</w:t>
            </w:r>
          </w:p>
          <w:p w14:paraId="5DF6F4A2" w14:textId="219959E3" w:rsidR="007846D0" w:rsidRPr="00FD2ADB" w:rsidRDefault="007846D0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D2ADB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C013B6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  <w:p w14:paraId="6613D27A" w14:textId="6AD3BB2F" w:rsidR="007846D0" w:rsidRPr="00FD2ADB" w:rsidRDefault="00C013B6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b w:val="0"/>
                <w:sz w:val="20"/>
                <w:szCs w:val="20"/>
              </w:rPr>
              <w:t xml:space="preserve"> </w:t>
            </w:r>
          </w:p>
          <w:p w14:paraId="217E742E" w14:textId="77777777" w:rsidR="00527B3B" w:rsidRPr="00FD2ADB" w:rsidRDefault="00527B3B" w:rsidP="001D7E8C">
            <w:pPr>
              <w:pStyle w:val="Titolo0"/>
              <w:spacing w:line="360" w:lineRule="auto"/>
              <w:rPr>
                <w:rFonts w:ascii="Verdana" w:hAnsi="Verdana" w:cs="Verdana"/>
                <w:b w:val="0"/>
                <w:sz w:val="20"/>
                <w:szCs w:val="20"/>
              </w:rPr>
            </w:pPr>
          </w:p>
        </w:tc>
      </w:tr>
      <w:tr w:rsidR="00527B3B" w:rsidRPr="00FD2ADB" w14:paraId="34D5E619" w14:textId="77777777" w:rsidTr="00867352">
        <w:tc>
          <w:tcPr>
            <w:tcW w:w="9610" w:type="dxa"/>
          </w:tcPr>
          <w:p w14:paraId="0EF7005F" w14:textId="77777777" w:rsidR="00527B3B" w:rsidRPr="00FD2ADB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667029F3" w14:textId="77777777" w:rsidR="00527B3B" w:rsidRPr="00FD2ADB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FD2ADB" w14:paraId="306EFD81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780638C6" w14:textId="77777777" w:rsidR="00527B3B" w:rsidRPr="00FD2ADB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Cs/>
              </w:rPr>
            </w:pPr>
          </w:p>
          <w:p w14:paraId="21BCFA8B" w14:textId="77777777" w:rsidR="007D3CC7" w:rsidRPr="00FD2ADB" w:rsidRDefault="00884805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lang w:bidi="it-IT"/>
              </w:rPr>
            </w:pPr>
            <w:r w:rsidRPr="00FD2ADB">
              <w:rPr>
                <w:rFonts w:ascii="Verdana" w:hAnsi="Verdana"/>
                <w:lang w:bidi="it-IT"/>
              </w:rPr>
              <w:t>Allegato 3</w:t>
            </w:r>
            <w:r w:rsidR="007D3CC7" w:rsidRPr="00FD2ADB">
              <w:rPr>
                <w:rFonts w:ascii="Verdana" w:hAnsi="Verdana"/>
                <w:lang w:bidi="it-IT"/>
              </w:rPr>
              <w:t xml:space="preserve"> </w:t>
            </w:r>
            <w:r w:rsidRPr="00FD2ADB">
              <w:rPr>
                <w:rFonts w:ascii="Verdana" w:hAnsi="Verdana"/>
                <w:lang w:bidi="it-IT"/>
              </w:rPr>
              <w:t>alla Lettera di invito</w:t>
            </w:r>
          </w:p>
          <w:p w14:paraId="69E46EA6" w14:textId="77777777" w:rsidR="007D3CC7" w:rsidRPr="00FD2ADB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u w:val="single"/>
                <w:lang w:bidi="it-IT"/>
              </w:rPr>
            </w:pPr>
            <w:r w:rsidRPr="00FD2ADB">
              <w:rPr>
                <w:rFonts w:ascii="Verdana" w:hAnsi="Verdana"/>
                <w:u w:val="single"/>
                <w:lang w:bidi="it-IT"/>
              </w:rPr>
              <w:t>SCHEMA</w:t>
            </w:r>
            <w:r w:rsidR="007D3CC7" w:rsidRPr="00FD2ADB">
              <w:rPr>
                <w:rFonts w:ascii="Verdana" w:hAnsi="Verdana"/>
                <w:u w:val="single"/>
                <w:lang w:bidi="it-IT"/>
              </w:rPr>
              <w:t xml:space="preserve"> DI OFFERTA ECONOMICA</w:t>
            </w:r>
          </w:p>
          <w:p w14:paraId="7B75D36E" w14:textId="77777777" w:rsidR="00527B3B" w:rsidRPr="00FD2ADB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Cs/>
                <w:sz w:val="20"/>
                <w:szCs w:val="20"/>
                <w:u w:val="single"/>
              </w:rPr>
            </w:pPr>
          </w:p>
          <w:p w14:paraId="52419EF0" w14:textId="01C1BAEB" w:rsidR="005C0680" w:rsidRPr="005C0680" w:rsidRDefault="001D7E8C" w:rsidP="005C0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 w:themeColor="text1"/>
              </w:rPr>
            </w:pPr>
            <w:r w:rsidRPr="00FD2ADB">
              <w:rPr>
                <w:rFonts w:ascii="Verdana" w:hAnsi="Verdana"/>
              </w:rPr>
              <w:t>Procedura</w:t>
            </w:r>
            <w:r w:rsidR="00EB7273" w:rsidRPr="00FD2ADB">
              <w:rPr>
                <w:rFonts w:ascii="Verdana" w:hAnsi="Verdana"/>
              </w:rPr>
              <w:t xml:space="preserve"> negoziata senza previa </w:t>
            </w:r>
            <w:r w:rsidR="00EB7273" w:rsidRPr="005C0680">
              <w:rPr>
                <w:rFonts w:ascii="Verdana" w:hAnsi="Verdana"/>
                <w:color w:val="000000" w:themeColor="text1"/>
              </w:rPr>
              <w:t xml:space="preserve">pubblicazione di un bando di gara, ai sensi dell’art. 63, comma 2°, lett. b), n. 3, del D.Lgs. 50/2016, volta </w:t>
            </w:r>
            <w:r w:rsidR="005C0680" w:rsidRPr="005C0680">
              <w:rPr>
                <w:rFonts w:ascii="Verdana" w:hAnsi="Verdana"/>
                <w:color w:val="000000" w:themeColor="text1"/>
              </w:rPr>
              <w:t>all’acquisizione della fornitura per il “</w:t>
            </w:r>
            <w:r w:rsidR="005C0680" w:rsidRPr="006F2725">
              <w:rPr>
                <w:rFonts w:ascii="Verdana" w:hAnsi="Verdana"/>
                <w:i/>
                <w:color w:val="000000" w:themeColor="text1"/>
              </w:rPr>
              <w:t>Piano di Mantenimento ed Adeguamento dell’infrastruttura IT (hardware, software e relativi servizi accessori) per il Centro Elettronico Nazionale dell’INPS</w:t>
            </w:r>
            <w:r w:rsidR="006F2725">
              <w:rPr>
                <w:rFonts w:ascii="Verdana" w:hAnsi="Verdana"/>
                <w:i/>
                <w:color w:val="000000" w:themeColor="text1"/>
              </w:rPr>
              <w:t>”</w:t>
            </w:r>
            <w:r w:rsidR="005C0680" w:rsidRPr="005C0680">
              <w:rPr>
                <w:rFonts w:ascii="Verdana" w:hAnsi="Verdana"/>
                <w:color w:val="000000" w:themeColor="text1"/>
              </w:rPr>
              <w:t xml:space="preserve"> per gli anni 2018 – 2020.</w:t>
            </w:r>
          </w:p>
          <w:p w14:paraId="723D3033" w14:textId="4462787F" w:rsidR="00F9429B" w:rsidRPr="00FD2ADB" w:rsidRDefault="007D028A" w:rsidP="005C0680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5C0680">
              <w:rPr>
                <w:rFonts w:ascii="Verdana" w:hAnsi="Verdana"/>
                <w:color w:val="000000" w:themeColor="text1"/>
              </w:rPr>
              <w:t>.</w:t>
            </w:r>
          </w:p>
        </w:tc>
      </w:tr>
      <w:tr w:rsidR="00527B3B" w:rsidRPr="00992CBC" w14:paraId="55C2FC41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2D0003C6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49D8876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5A89064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4542C5F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1C36FB6D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4583FF2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Il sottoscritto: ___________________________________________________________</w:t>
      </w:r>
    </w:p>
    <w:p w14:paraId="4899D4FF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Nato a: ________________________il ________________________________________</w:t>
      </w:r>
    </w:p>
    <w:p w14:paraId="508D0950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Residente a: _________________________ Provincia di _________________________</w:t>
      </w:r>
    </w:p>
    <w:p w14:paraId="4DAB1143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via/piazza_______________________ n.° _____________________________________</w:t>
      </w:r>
    </w:p>
    <w:p w14:paraId="36C210F4" w14:textId="77777777" w:rsidR="00C86557" w:rsidRPr="00FD2ADB" w:rsidRDefault="00C86557" w:rsidP="00C86557">
      <w:pPr>
        <w:jc w:val="both"/>
        <w:rPr>
          <w:rFonts w:ascii="Verdana" w:hAnsi="Verdana" w:cs="Arial"/>
          <w:u w:val="single"/>
        </w:rPr>
      </w:pPr>
      <w:r w:rsidRPr="00FD2ADB">
        <w:rPr>
          <w:rFonts w:ascii="Verdana" w:hAnsi="Verdana" w:cs="Arial"/>
        </w:rPr>
        <w:t xml:space="preserve">in qualità di: </w:t>
      </w:r>
      <w:r w:rsidRPr="00FD2ADB">
        <w:rPr>
          <w:rFonts w:ascii="Verdana" w:hAnsi="Verdana" w:cs="Arial"/>
          <w:i/>
        </w:rPr>
        <w:t>(indicare la carica, anche sociale)</w:t>
      </w:r>
      <w:r w:rsidRPr="00FD2ADB">
        <w:rPr>
          <w:rFonts w:ascii="Verdana" w:hAnsi="Verdana" w:cs="Arial"/>
        </w:rPr>
        <w:t xml:space="preserve"> __________________________________</w:t>
      </w:r>
    </w:p>
    <w:p w14:paraId="4E1143C5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dell’Operatore/Impresa: _____________________________________________</w:t>
      </w:r>
    </w:p>
    <w:p w14:paraId="0761C253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con sede nel Comune di:___________________________ Provincia di _____________</w:t>
      </w:r>
    </w:p>
    <w:p w14:paraId="4C6890E4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codice fiscale: ____________________________________________________________</w:t>
      </w:r>
    </w:p>
    <w:p w14:paraId="628B5125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partita I.V.A.: ____________________________________________________________</w:t>
      </w:r>
    </w:p>
    <w:p w14:paraId="15B4DBE0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telefono: ____________________________________ fax _________________________</w:t>
      </w:r>
    </w:p>
    <w:p w14:paraId="5663D546" w14:textId="77777777" w:rsidR="00C86557" w:rsidRPr="00FD2ADB" w:rsidRDefault="00C86557" w:rsidP="00C86557">
      <w:pPr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indirizzo di posta elettronica: _______________________________________________</w:t>
      </w:r>
    </w:p>
    <w:p w14:paraId="4EF9C169" w14:textId="77777777" w:rsidR="00F16349" w:rsidRPr="00FD2ADB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1855BE86" w14:textId="4AAF3AD7" w:rsidR="00072B83" w:rsidRDefault="00C86557" w:rsidP="007D028A">
      <w:pPr>
        <w:pStyle w:val="Intestazione"/>
        <w:spacing w:line="360" w:lineRule="auto"/>
        <w:jc w:val="both"/>
        <w:rPr>
          <w:rFonts w:ascii="Verdana" w:hAnsi="Verdana"/>
          <w:color w:val="000000" w:themeColor="text1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</w:t>
      </w:r>
      <w:r w:rsidR="007319EC">
        <w:rPr>
          <w:rFonts w:ascii="Verdana" w:hAnsi="Verdana" w:cs="Verdana"/>
          <w:snapToGrid w:val="0"/>
        </w:rPr>
        <w:t>la Lettera di invito, nella documentazione tecnica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>del</w:t>
      </w:r>
      <w:r w:rsidR="007319EC">
        <w:rPr>
          <w:rFonts w:ascii="Verdana" w:hAnsi="Verdana" w:cs="Verdana"/>
          <w:snapToGrid w:val="0"/>
        </w:rPr>
        <w:t>la Fornitura</w:t>
      </w:r>
      <w:r w:rsidR="007D028A">
        <w:rPr>
          <w:rFonts w:ascii="Verdana" w:hAnsi="Verdana" w:cs="Verdana"/>
          <w:snapToGrid w:val="0"/>
        </w:rPr>
        <w:t xml:space="preserve"> di </w:t>
      </w:r>
      <w:r w:rsidR="00E17633">
        <w:rPr>
          <w:rFonts w:ascii="Verdana" w:hAnsi="Verdana" w:cs="Verdana"/>
          <w:snapToGrid w:val="0"/>
        </w:rPr>
        <w:t xml:space="preserve"> </w:t>
      </w:r>
      <w:r w:rsidR="006F2725" w:rsidRPr="005C0680">
        <w:rPr>
          <w:rFonts w:ascii="Verdana" w:hAnsi="Verdana"/>
          <w:color w:val="000000" w:themeColor="text1"/>
        </w:rPr>
        <w:t>“</w:t>
      </w:r>
      <w:r w:rsidR="006F2725" w:rsidRPr="006F2725">
        <w:rPr>
          <w:rFonts w:ascii="Verdana" w:hAnsi="Verdana"/>
          <w:i/>
          <w:color w:val="000000" w:themeColor="text1"/>
        </w:rPr>
        <w:t>Piano di Mantenimento ed Adeguamento dell’infrastruttura IT (hardware, software e relativi servizi accessori) per il Centro Elettronico Nazionale dell’INPS</w:t>
      </w:r>
      <w:r w:rsidR="006F2725">
        <w:rPr>
          <w:rFonts w:ascii="Verdana" w:hAnsi="Verdana"/>
          <w:i/>
          <w:color w:val="000000" w:themeColor="text1"/>
        </w:rPr>
        <w:t>”</w:t>
      </w:r>
      <w:r w:rsidR="006F2725" w:rsidRPr="005C0680">
        <w:rPr>
          <w:rFonts w:ascii="Verdana" w:hAnsi="Verdana"/>
          <w:color w:val="000000" w:themeColor="text1"/>
        </w:rPr>
        <w:t xml:space="preserve"> per gli anni 2018 – 2020</w:t>
      </w:r>
    </w:p>
    <w:p w14:paraId="3F712FC9" w14:textId="77777777" w:rsidR="006F2725" w:rsidRDefault="006F2725" w:rsidP="007D028A">
      <w:pPr>
        <w:pStyle w:val="Intestazione"/>
        <w:spacing w:line="360" w:lineRule="auto"/>
        <w:jc w:val="both"/>
        <w:rPr>
          <w:rFonts w:ascii="Verdana" w:hAnsi="Verdana" w:cs="Verdana"/>
          <w:i/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7"/>
        <w:gridCol w:w="3224"/>
      </w:tblGrid>
      <w:tr w:rsidR="00766EE9" w:rsidRPr="003E08A6" w14:paraId="538481EC" w14:textId="77777777" w:rsidTr="00C86CC8">
        <w:trPr>
          <w:trHeight w:val="600"/>
          <w:tblHeader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24AD6273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14:paraId="2AA693E5" w14:textId="7D63C6E1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Valore complessivo offerto per il triennio (IVA esclusa)</w:t>
            </w:r>
          </w:p>
        </w:tc>
      </w:tr>
      <w:tr w:rsidR="00766EE9" w:rsidRPr="003E08A6" w14:paraId="015AFA2A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1D790A63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Prodotti HW e Manutenzione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14:paraId="47902EAA" w14:textId="77777777" w:rsidR="00766EE9" w:rsidRPr="00C86CC8" w:rsidRDefault="00766EE9" w:rsidP="009D51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6EE9" w:rsidRPr="003E08A6" w14:paraId="6A267551" w14:textId="77777777" w:rsidTr="00C86CC8">
        <w:trPr>
          <w:trHeight w:val="72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1A3BDEE6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Sistema IBM z14 modello 3906-M02/712 per il sito di produzione comprensivo di garanzia per un anno alle condizioni di servizio previste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5E2D588" w14:textId="4977BC20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5D912F6D" w14:textId="77777777" w:rsidTr="00C86CC8">
        <w:trPr>
          <w:trHeight w:val="72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606FA1BE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Sistema IBM z14 modello 3906-M02/712 per il sito di produzione comprensivo di garanzia per un anno alle condizioni di servizio previste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59CDB2D" w14:textId="1178FB35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07FAF5D8" w14:textId="77777777" w:rsidTr="00C86CC8">
        <w:trPr>
          <w:trHeight w:val="72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25D55FE3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Coupling Facility IBM z13s modello 2965-N10/A00 per il sito di produzione comprensivo di garanzia per un anno alle condizioni di servizio previste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5CC418A" w14:textId="6949E316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3DB16CEC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41B6277A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 Sistema 2827-H43/712, matricola 8470C37, in modello 2827-H43/401 con aggiunta di motori CBU per il sito di Disaster Recovery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4153C28" w14:textId="5299C418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38C4D369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5AAC81E2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MES Sistema 2827-H43/712, matricola 8470C07, in modello 2827-H43/401 con aggiunta di motori CBU per il sito di Disaster Recovery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6FFA760" w14:textId="7004A548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2871DEEC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71EF2C32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Manutenzione in garanzia</w:t>
            </w:r>
          </w:p>
          <w:p w14:paraId="7F7F7E2F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(delta SLA)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5918D360" w14:textId="7D45AFD1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04D9EB3C" w14:textId="77777777" w:rsidTr="00C86CC8">
        <w:trPr>
          <w:trHeight w:val="300"/>
          <w:jc w:val="center"/>
        </w:trPr>
        <w:tc>
          <w:tcPr>
            <w:tcW w:w="3375" w:type="pct"/>
            <w:shd w:val="clear" w:color="000000" w:fill="BFBFBF"/>
            <w:vAlign w:val="center"/>
            <w:hideMark/>
          </w:tcPr>
          <w:p w14:paraId="4A18007C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Servizi di Setup</w:t>
            </w:r>
          </w:p>
        </w:tc>
        <w:tc>
          <w:tcPr>
            <w:tcW w:w="1625" w:type="pct"/>
            <w:shd w:val="clear" w:color="000000" w:fill="BFBFBF"/>
            <w:noWrap/>
            <w:vAlign w:val="center"/>
            <w:hideMark/>
          </w:tcPr>
          <w:p w14:paraId="15D76F6A" w14:textId="77777777" w:rsidR="00766EE9" w:rsidRPr="00C86CC8" w:rsidRDefault="00766EE9" w:rsidP="009D51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6EE9" w:rsidRPr="003E08A6" w14:paraId="47522580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37221957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Servizio di Installazione elaboratori z14 e z13</w:t>
            </w:r>
          </w:p>
          <w:p w14:paraId="3232EF74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(a corpo)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7190E9A" w14:textId="00E4629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248C51C6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35758D7F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Servizio di Setup elaboratori z14 e z13 </w:t>
            </w: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(a corpo)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9C20D7C" w14:textId="54A6FE71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107C1BC6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3629D8FF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Servizio di moving e cablaggio presso il Si.Re </w:t>
            </w:r>
          </w:p>
          <w:p w14:paraId="7E766DB9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(a corpo)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05C502A" w14:textId="257C08C0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46EEE88E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04423D78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Setup e ottimizzazione degli elaboratori zEC12 </w:t>
            </w: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(a corpo)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C3CE375" w14:textId="22686892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5EB6A702" w14:textId="77777777" w:rsidTr="00C86CC8">
        <w:trPr>
          <w:trHeight w:val="300"/>
          <w:jc w:val="center"/>
        </w:trPr>
        <w:tc>
          <w:tcPr>
            <w:tcW w:w="3375" w:type="pct"/>
            <w:shd w:val="clear" w:color="000000" w:fill="BFBFBF"/>
            <w:vAlign w:val="center"/>
            <w:hideMark/>
          </w:tcPr>
          <w:p w14:paraId="01E98FDB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Licenze SW e relativa Manutenzione</w:t>
            </w:r>
          </w:p>
        </w:tc>
        <w:tc>
          <w:tcPr>
            <w:tcW w:w="1625" w:type="pct"/>
            <w:shd w:val="clear" w:color="000000" w:fill="BFBFBF"/>
            <w:noWrap/>
            <w:vAlign w:val="center"/>
            <w:hideMark/>
          </w:tcPr>
          <w:p w14:paraId="78408837" w14:textId="77777777" w:rsidR="00766EE9" w:rsidRPr="00C86CC8" w:rsidRDefault="00766EE9" w:rsidP="009D51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6EE9" w:rsidRPr="003E08A6" w14:paraId="5F4F0B12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2031E067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Prodotti Software 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47A9FBE" w14:textId="672D990A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695ACDDB" w14:textId="77777777" w:rsidTr="00C86CC8">
        <w:trPr>
          <w:trHeight w:val="61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7668A394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Manutenzione prodotti software</w:t>
            </w:r>
          </w:p>
          <w:p w14:paraId="27585024" w14:textId="3A199441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 base AIX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20733CC" w14:textId="5B54FA02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2D1BEBCE" w14:textId="77777777" w:rsidTr="00C86CC8">
        <w:trPr>
          <w:trHeight w:val="300"/>
          <w:jc w:val="center"/>
        </w:trPr>
        <w:tc>
          <w:tcPr>
            <w:tcW w:w="3375" w:type="pct"/>
            <w:shd w:val="clear" w:color="000000" w:fill="BFBFBF"/>
            <w:vAlign w:val="center"/>
            <w:hideMark/>
          </w:tcPr>
          <w:p w14:paraId="48A4F8DD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Servizi Specialistici</w:t>
            </w:r>
          </w:p>
        </w:tc>
        <w:tc>
          <w:tcPr>
            <w:tcW w:w="1625" w:type="pct"/>
            <w:shd w:val="clear" w:color="000000" w:fill="BFBFBF"/>
            <w:noWrap/>
            <w:vAlign w:val="center"/>
            <w:hideMark/>
          </w:tcPr>
          <w:p w14:paraId="7BEC2387" w14:textId="77777777" w:rsidR="00766EE9" w:rsidRPr="00C86CC8" w:rsidRDefault="00766EE9" w:rsidP="009D51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6EE9" w:rsidRPr="003E08A6" w14:paraId="7D8AA748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2331F7C2" w14:textId="61D33CB2" w:rsidR="00766EE9" w:rsidRPr="00C86CC8" w:rsidRDefault="00766EE9" w:rsidP="00771D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Supporto Specia</w:t>
            </w:r>
            <w:r w:rsidR="00771D22">
              <w:rPr>
                <w:rFonts w:ascii="Calibri" w:hAnsi="Calibri" w:cs="Calibri"/>
                <w:color w:val="000000"/>
                <w:sz w:val="18"/>
                <w:szCs w:val="18"/>
              </w:rPr>
              <w:t>listico mainframe</w:t>
            </w:r>
            <w:r w:rsidR="00771D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(a consumo)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4EFA909D" w14:textId="107A7638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468F55C3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4B40639A" w14:textId="0B7DC341" w:rsidR="00766EE9" w:rsidRPr="00C86CC8" w:rsidRDefault="00766EE9" w:rsidP="00771D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Supporto Speci</w:t>
            </w:r>
            <w:r w:rsidR="00771D22">
              <w:rPr>
                <w:rFonts w:ascii="Calibri" w:hAnsi="Calibri" w:cs="Calibri"/>
                <w:color w:val="000000"/>
                <w:sz w:val="18"/>
                <w:szCs w:val="18"/>
              </w:rPr>
              <w:t>alistico area open</w:t>
            </w:r>
            <w:r w:rsidR="00771D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(a consumo)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039DAE6" w14:textId="4515FF7C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077DD043" w14:textId="77777777" w:rsidTr="00C86CC8">
        <w:trPr>
          <w:trHeight w:val="48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03D9FA21" w14:textId="373E76E1" w:rsidR="00766EE9" w:rsidRPr="00C86CC8" w:rsidRDefault="00766EE9" w:rsidP="00771D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supporto specialistico alle iniziative di trasformazione</w:t>
            </w: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771D22">
              <w:rPr>
                <w:rFonts w:ascii="Calibri" w:hAnsi="Calibri" w:cs="Calibri"/>
                <w:color w:val="000000"/>
                <w:sz w:val="18"/>
                <w:szCs w:val="18"/>
              </w:rPr>
              <w:t>(a consumo)</w:t>
            </w:r>
            <w:bookmarkStart w:id="0" w:name="_GoBack"/>
            <w:bookmarkEnd w:id="0"/>
          </w:p>
        </w:tc>
        <w:tc>
          <w:tcPr>
            <w:tcW w:w="1625" w:type="pct"/>
            <w:shd w:val="clear" w:color="auto" w:fill="auto"/>
            <w:vAlign w:val="center"/>
          </w:tcPr>
          <w:p w14:paraId="5C5D6F25" w14:textId="77F71A46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6C4201F9" w14:textId="77777777" w:rsidTr="00C86CC8">
        <w:trPr>
          <w:trHeight w:val="300"/>
          <w:jc w:val="center"/>
        </w:trPr>
        <w:tc>
          <w:tcPr>
            <w:tcW w:w="3375" w:type="pct"/>
            <w:shd w:val="clear" w:color="000000" w:fill="BFBFBF"/>
            <w:vAlign w:val="center"/>
            <w:hideMark/>
          </w:tcPr>
          <w:p w14:paraId="0929FB06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Servizo di Manutenzione di altri prodotti IBM</w:t>
            </w:r>
          </w:p>
        </w:tc>
        <w:tc>
          <w:tcPr>
            <w:tcW w:w="1625" w:type="pct"/>
            <w:shd w:val="clear" w:color="000000" w:fill="BFBFBF"/>
            <w:noWrap/>
            <w:vAlign w:val="center"/>
            <w:hideMark/>
          </w:tcPr>
          <w:p w14:paraId="2A8FDDF0" w14:textId="77777777" w:rsidR="00766EE9" w:rsidRPr="00C86CC8" w:rsidRDefault="00766EE9" w:rsidP="009D51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6EE9" w:rsidRPr="003E08A6" w14:paraId="3CE48485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3B5299BB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ETS GDPS  per 36 mesi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AE0608A" w14:textId="393DF36B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3EAC28B8" w14:textId="77777777" w:rsidTr="00C86CC8">
        <w:trPr>
          <w:trHeight w:val="300"/>
          <w:jc w:val="center"/>
        </w:trPr>
        <w:tc>
          <w:tcPr>
            <w:tcW w:w="3375" w:type="pct"/>
            <w:shd w:val="clear" w:color="auto" w:fill="auto"/>
            <w:vAlign w:val="center"/>
            <w:hideMark/>
          </w:tcPr>
          <w:p w14:paraId="25BCBBDC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>ETS  zOS  per 36 mesi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547F9CB8" w14:textId="18B02870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EE9" w:rsidRPr="003E08A6" w14:paraId="50DA7A7C" w14:textId="77777777" w:rsidTr="00C86CC8">
        <w:trPr>
          <w:trHeight w:val="300"/>
          <w:jc w:val="center"/>
        </w:trPr>
        <w:tc>
          <w:tcPr>
            <w:tcW w:w="3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A2E791" w14:textId="77777777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ETS-AIX per 36 mesi   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AA5E1" w14:textId="390C1EFD" w:rsidR="00766EE9" w:rsidRPr="00C86CC8" w:rsidRDefault="00766EE9" w:rsidP="009D5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DE799AD" w14:textId="77777777" w:rsidR="00766EE9" w:rsidRDefault="00766EE9" w:rsidP="00766EE9"/>
    <w:p w14:paraId="3CCDF398" w14:textId="77777777" w:rsidR="00766EE9" w:rsidRPr="007D028A" w:rsidRDefault="00766EE9" w:rsidP="007D028A">
      <w:pPr>
        <w:pStyle w:val="Intestazione"/>
        <w:spacing w:line="360" w:lineRule="auto"/>
        <w:jc w:val="both"/>
        <w:rPr>
          <w:rFonts w:ascii="Verdana" w:hAnsi="Verdana" w:cs="Verdana"/>
          <w:i/>
          <w:snapToGrid w:val="0"/>
        </w:rPr>
      </w:pPr>
    </w:p>
    <w:p w14:paraId="72C10EA0" w14:textId="77777777" w:rsidR="002C25CB" w:rsidRDefault="002C25CB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17D4AA83" w14:textId="7C04DC1D" w:rsidR="00A07CEA" w:rsidRDefault="00A07CE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1"/>
        <w:gridCol w:w="2707"/>
        <w:gridCol w:w="4179"/>
      </w:tblGrid>
      <w:tr w:rsidR="00A07CEA" w:rsidRPr="009E5EE9" w14:paraId="382DF2A7" w14:textId="77777777" w:rsidTr="00C86CC8">
        <w:trPr>
          <w:trHeight w:val="423"/>
        </w:trPr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14:paraId="170173D8" w14:textId="2CBD9A37" w:rsidR="00A07CEA" w:rsidRPr="009E5EE9" w:rsidRDefault="00A07CEA" w:rsidP="00080F09">
            <w:pPr>
              <w:pStyle w:val="Rientrocorpodeltesto"/>
              <w:ind w:left="0"/>
              <w:jc w:val="center"/>
              <w:rPr>
                <w:rFonts w:ascii="Verdana" w:hAnsi="Verdana" w:cs="Verdana"/>
                <w:b/>
                <w:bCs/>
              </w:rPr>
            </w:pP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complessivamente offerto per la Fornitu</w:t>
            </w:r>
            <w:r w:rsidR="00200EEA"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[Importo a base d’asta non superabile: € </w:t>
            </w:r>
            <w:r w:rsidRPr="00080F0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[…</w:t>
            </w:r>
            <w:r w:rsidR="00080F0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…../….</w:t>
            </w:r>
            <w:r w:rsidRPr="00080F0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3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6895DE" w14:textId="00D1F96A" w:rsidR="00A07CEA" w:rsidRPr="00080F09" w:rsidRDefault="00A07CEA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In cifre</w:t>
            </w:r>
            <w:r w:rsidR="003E08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2185"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IVA esclusa)</w:t>
            </w:r>
          </w:p>
        </w:tc>
        <w:tc>
          <w:tcPr>
            <w:tcW w:w="2090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E97B5A" w14:textId="125A0B49" w:rsidR="00A07CEA" w:rsidRPr="00080F09" w:rsidRDefault="00A07CEA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In lettere</w:t>
            </w:r>
            <w:r w:rsidR="003E08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2185"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IVA esclusa)</w:t>
            </w:r>
          </w:p>
        </w:tc>
      </w:tr>
      <w:tr w:rsidR="00A07CEA" w:rsidRPr="009E5EE9" w14:paraId="7090BBB3" w14:textId="77777777" w:rsidTr="00C86CC8">
        <w:trPr>
          <w:trHeight w:val="238"/>
        </w:trPr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14:paraId="55C2CB08" w14:textId="77777777" w:rsidR="00A07CEA" w:rsidRPr="009E5EE9" w:rsidRDefault="00A07CEA" w:rsidP="00D96FA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5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CF3CDFF" w14:textId="77777777" w:rsidR="00A07CEA" w:rsidRPr="00080F09" w:rsidRDefault="00A07CEA" w:rsidP="00080F09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6CF18F" w14:textId="0B0B6C47" w:rsidR="00A07CEA" w:rsidRPr="00080F09" w:rsidRDefault="00A07CEA" w:rsidP="000351AE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>€_______</w:t>
            </w:r>
            <w:r w:rsidR="00080F09" w:rsidRPr="00080F0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</w:tc>
        <w:tc>
          <w:tcPr>
            <w:tcW w:w="20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37BD469" w14:textId="1F33D38D" w:rsidR="00A07CEA" w:rsidRPr="00080F09" w:rsidRDefault="00A07CEA" w:rsidP="00080F0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>Euro_____________</w:t>
            </w:r>
            <w:r w:rsidR="00080F09" w:rsidRPr="00080F0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</w:tc>
      </w:tr>
    </w:tbl>
    <w:p w14:paraId="1FD9827B" w14:textId="77777777" w:rsidR="00200EEA" w:rsidRDefault="00200EE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766F629A" w14:textId="49EC5304" w:rsidR="00A14290" w:rsidRPr="00C86557" w:rsidRDefault="00A1429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7"/>
        <w:gridCol w:w="6910"/>
      </w:tblGrid>
      <w:tr w:rsidR="00A33EE0" w:rsidRPr="00F51060" w14:paraId="62905D94" w14:textId="77777777" w:rsidTr="00C86CC8">
        <w:trPr>
          <w:trHeight w:val="1641"/>
        </w:trPr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258CC0AA" w14:textId="77777777" w:rsidR="00A33EE0" w:rsidRPr="00080F09" w:rsidRDefault="00383A66" w:rsidP="00080F09">
            <w:pPr>
              <w:pStyle w:val="Rientrocorpodeltesto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  <w:p w14:paraId="23C801D7" w14:textId="77777777" w:rsidR="004C0487" w:rsidRPr="00080F09" w:rsidRDefault="004C0487" w:rsidP="00080F09">
            <w:pPr>
              <w:pStyle w:val="Rientrocorpodeltesto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4AFB64E7" w14:textId="77777777" w:rsidR="00A33EE0" w:rsidRPr="00080F09" w:rsidRDefault="00A33EE0" w:rsidP="00080F09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ADCEB" w14:textId="77777777" w:rsidR="00A33EE0" w:rsidRPr="00080F09" w:rsidRDefault="00A33EE0" w:rsidP="00080F09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>(in cifre) €____________________, al netto dell’IVA</w:t>
            </w:r>
          </w:p>
          <w:p w14:paraId="1DD9E589" w14:textId="77777777" w:rsidR="00A33EE0" w:rsidRPr="00080F09" w:rsidRDefault="00A33EE0" w:rsidP="00080F09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04C84D3" w14:textId="3D01D9C0" w:rsidR="00A33EE0" w:rsidRPr="00080F09" w:rsidRDefault="00A33EE0" w:rsidP="000351AE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>(in lettere) Euro _____________________, al netto dell’IVA</w:t>
            </w:r>
          </w:p>
        </w:tc>
      </w:tr>
    </w:tbl>
    <w:p w14:paraId="5762E92E" w14:textId="77777777"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14:paraId="6CA50518" w14:textId="3A7447A3" w:rsidR="000351AE" w:rsidRPr="00C86557" w:rsidRDefault="000351AE" w:rsidP="000351AE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7"/>
        <w:gridCol w:w="6910"/>
      </w:tblGrid>
      <w:tr w:rsidR="000351AE" w:rsidRPr="00F51060" w14:paraId="6B7F26F1" w14:textId="77777777" w:rsidTr="00C86CC8">
        <w:trPr>
          <w:trHeight w:val="1573"/>
        </w:trPr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A6F8EB3" w14:textId="7BBB26AC" w:rsidR="000351AE" w:rsidRPr="00080F09" w:rsidRDefault="000351AE" w:rsidP="005C0C36">
            <w:pPr>
              <w:pStyle w:val="Rientrocorpodeltesto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Costi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della manodopera dichiarati dal Fornitore</w:t>
            </w:r>
          </w:p>
          <w:p w14:paraId="04C258D3" w14:textId="77777777" w:rsidR="000351AE" w:rsidRPr="00080F09" w:rsidRDefault="000351AE" w:rsidP="005C0C36">
            <w:pPr>
              <w:pStyle w:val="Rientrocorpodeltesto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2ED64A6E" w14:textId="77777777" w:rsidR="000351AE" w:rsidRPr="00080F09" w:rsidRDefault="000351AE" w:rsidP="005C0C36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22524" w14:textId="2D49477B" w:rsidR="000351AE" w:rsidRPr="00080F09" w:rsidRDefault="000351AE" w:rsidP="005C0C36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 xml:space="preserve">(in cifre) €____________________, </w:t>
            </w:r>
          </w:p>
          <w:p w14:paraId="7D87C558" w14:textId="77777777" w:rsidR="000351AE" w:rsidRPr="00080F09" w:rsidRDefault="000351AE" w:rsidP="005C0C36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405810" w14:textId="6F47F2ED" w:rsidR="000351AE" w:rsidRPr="00080F09" w:rsidRDefault="000351AE" w:rsidP="00C86CC8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F09">
              <w:rPr>
                <w:rFonts w:asciiTheme="minorHAnsi" w:hAnsiTheme="minorHAnsi" w:cstheme="minorHAnsi"/>
                <w:sz w:val="18"/>
                <w:szCs w:val="18"/>
              </w:rPr>
              <w:t xml:space="preserve">(in lettere) Euro _____________________, </w:t>
            </w:r>
          </w:p>
        </w:tc>
      </w:tr>
    </w:tbl>
    <w:p w14:paraId="1CCFD82D" w14:textId="77777777" w:rsidR="000351AE" w:rsidRPr="00F37A98" w:rsidRDefault="000351AE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14:paraId="5B4971B6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B9C2923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20E2EB46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C68A1D0" w14:textId="77777777" w:rsidR="006C7ABA" w:rsidRPr="00FD2ADB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D2ADB">
        <w:rPr>
          <w:rFonts w:ascii="Verdana" w:hAnsi="Verdana"/>
          <w:sz w:val="20"/>
          <w:szCs w:val="20"/>
        </w:rPr>
        <w:t>Operatore____________________         Sottoscrizione ______________________</w:t>
      </w:r>
    </w:p>
    <w:p w14:paraId="15148A0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000ADE6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36288AB" w14:textId="14A76676" w:rsidR="00072B83" w:rsidRPr="005432CE" w:rsidRDefault="00145C5E" w:rsidP="00072B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</w:t>
      </w:r>
      <w:r w:rsidRPr="00133A02">
        <w:rPr>
          <w:rFonts w:ascii="Verdana" w:hAnsi="Verdana"/>
        </w:rPr>
        <w:lastRenderedPageBreak/>
        <w:t xml:space="preserve">Contratto:  </w:t>
      </w:r>
      <w:r w:rsidR="00072B83" w:rsidRPr="005432CE">
        <w:rPr>
          <w:rFonts w:ascii="Verdana" w:hAnsi="Verdana"/>
        </w:rPr>
        <w:t xml:space="preserve">Art. 1 (Definizioni), Art. 2 (Valore giuridico delle premesse e degli allegati), Art. 3 (Oggetto e durata del Contratto), </w:t>
      </w:r>
      <w:r w:rsidR="00072B83">
        <w:rPr>
          <w:rFonts w:ascii="Verdana" w:hAnsi="Verdana"/>
        </w:rPr>
        <w:t xml:space="preserve">Art. 4 (Vendita di Macchine), Art. 5 (Configurazione e Tecnologia delle macchine), Art. 6 (Condizioni integrative al Microprogramma su Licenza), Art. 7 (Garanzia e Manutenzione Hardware), </w:t>
      </w:r>
      <w:r w:rsidR="00072B83" w:rsidRPr="005432CE">
        <w:rPr>
          <w:rFonts w:ascii="Verdana" w:hAnsi="Verdana"/>
        </w:rPr>
        <w:t xml:space="preserve">Art. </w:t>
      </w:r>
      <w:r w:rsidR="00072B83">
        <w:rPr>
          <w:rFonts w:ascii="Verdana" w:hAnsi="Verdana"/>
        </w:rPr>
        <w:t>8</w:t>
      </w:r>
      <w:r w:rsidR="00072B83" w:rsidRPr="005432CE">
        <w:rPr>
          <w:rFonts w:ascii="Verdana" w:hAnsi="Verdana"/>
        </w:rPr>
        <w:t xml:space="preserve"> (Licenze d’uso e manutenzione software di programmi IBM), </w:t>
      </w:r>
      <w:r w:rsidR="00072B83">
        <w:rPr>
          <w:rFonts w:ascii="Verdana" w:hAnsi="Verdana"/>
        </w:rPr>
        <w:t>Art.9 (Servizi di manutenzione di altri prodotti software IBM), Art.10 (Servizi Professionali), Art. 11</w:t>
      </w:r>
      <w:r w:rsidR="00072B83" w:rsidRPr="005432CE">
        <w:rPr>
          <w:rFonts w:ascii="Verdana" w:hAnsi="Verdana"/>
        </w:rPr>
        <w:t xml:space="preserve"> (Modalit</w:t>
      </w:r>
      <w:r w:rsidR="00072B83">
        <w:rPr>
          <w:rFonts w:ascii="Verdana" w:hAnsi="Verdana"/>
        </w:rPr>
        <w:t>à</w:t>
      </w:r>
      <w:r w:rsidR="00072B83" w:rsidRPr="005432CE">
        <w:rPr>
          <w:rFonts w:ascii="Verdana" w:hAnsi="Verdana"/>
        </w:rPr>
        <w:t xml:space="preserve"> generali di esecuzione della Fornitura), Art. </w:t>
      </w:r>
      <w:r w:rsidR="00072B83">
        <w:rPr>
          <w:rFonts w:ascii="Verdana" w:hAnsi="Verdana"/>
        </w:rPr>
        <w:t>12</w:t>
      </w:r>
      <w:r w:rsidR="00072B83" w:rsidRPr="005432CE">
        <w:rPr>
          <w:rFonts w:ascii="Verdana" w:hAnsi="Verdana"/>
        </w:rPr>
        <w:t xml:space="preserve"> (Governance dell’esecuzione contrattuale), Art. </w:t>
      </w:r>
      <w:r w:rsidR="00072B83">
        <w:rPr>
          <w:rFonts w:ascii="Verdana" w:hAnsi="Verdana"/>
        </w:rPr>
        <w:t>13</w:t>
      </w:r>
      <w:r w:rsidR="00072B83" w:rsidRPr="005432CE">
        <w:rPr>
          <w:rFonts w:ascii="Verdana" w:hAnsi="Verdana"/>
        </w:rPr>
        <w:t xml:space="preserve"> (Obblighi dell’Appaltatore), Art. </w:t>
      </w:r>
      <w:r w:rsidR="00072B83">
        <w:rPr>
          <w:rFonts w:ascii="Verdana" w:hAnsi="Verdana"/>
        </w:rPr>
        <w:t>14</w:t>
      </w:r>
      <w:r w:rsidR="00072B83" w:rsidRPr="005432CE">
        <w:rPr>
          <w:rFonts w:ascii="Verdana" w:hAnsi="Verdana"/>
        </w:rPr>
        <w:t xml:space="preserve"> (Uso dei </w:t>
      </w:r>
      <w:r w:rsidR="00072B83">
        <w:rPr>
          <w:rFonts w:ascii="Verdana" w:hAnsi="Verdana"/>
        </w:rPr>
        <w:t>D</w:t>
      </w:r>
      <w:r w:rsidR="00072B83" w:rsidRPr="005432CE">
        <w:rPr>
          <w:rFonts w:ascii="Verdana" w:hAnsi="Verdana"/>
        </w:rPr>
        <w:t xml:space="preserve">elivery </w:t>
      </w:r>
      <w:r w:rsidR="00072B83">
        <w:rPr>
          <w:rFonts w:ascii="Verdana" w:hAnsi="Verdana"/>
        </w:rPr>
        <w:t>I</w:t>
      </w:r>
      <w:r w:rsidR="00072B83" w:rsidRPr="005432CE">
        <w:rPr>
          <w:rFonts w:ascii="Verdana" w:hAnsi="Verdana"/>
        </w:rPr>
        <w:t xml:space="preserve">tems); Art. </w:t>
      </w:r>
      <w:r w:rsidR="00072B83">
        <w:rPr>
          <w:rFonts w:ascii="Verdana" w:hAnsi="Verdana"/>
        </w:rPr>
        <w:t>15</w:t>
      </w:r>
      <w:r w:rsidR="00072B83" w:rsidRPr="005432CE">
        <w:rPr>
          <w:rFonts w:ascii="Verdana" w:hAnsi="Verdana"/>
        </w:rPr>
        <w:t xml:space="preserve"> (Oneri a carico dell’Istituto), Art. 1</w:t>
      </w:r>
      <w:r w:rsidR="00072B83">
        <w:rPr>
          <w:rFonts w:ascii="Verdana" w:hAnsi="Verdana"/>
        </w:rPr>
        <w:t>6</w:t>
      </w:r>
      <w:r w:rsidR="00072B83" w:rsidRPr="005432CE">
        <w:rPr>
          <w:rFonts w:ascii="Verdana" w:hAnsi="Verdana"/>
        </w:rPr>
        <w:t xml:space="preserve"> (Corrispettivi, </w:t>
      </w:r>
      <w:r w:rsidR="00A65488" w:rsidRPr="005432CE">
        <w:rPr>
          <w:rFonts w:ascii="Verdana" w:hAnsi="Verdana"/>
        </w:rPr>
        <w:t>modalità</w:t>
      </w:r>
      <w:r w:rsidR="00072B83" w:rsidRPr="005432CE">
        <w:rPr>
          <w:rFonts w:ascii="Verdana" w:hAnsi="Verdana"/>
        </w:rPr>
        <w:t xml:space="preserve"> di fatturazione e pagamenti), Art. 1</w:t>
      </w:r>
      <w:r w:rsidR="00072B83">
        <w:rPr>
          <w:rFonts w:ascii="Verdana" w:hAnsi="Verdana"/>
        </w:rPr>
        <w:t>7</w:t>
      </w:r>
      <w:r w:rsidR="00072B83" w:rsidRPr="005432CE">
        <w:rPr>
          <w:rFonts w:ascii="Verdana" w:hAnsi="Verdana"/>
        </w:rPr>
        <w:t xml:space="preserve"> (Responsabilità dell’Appaltatore e garanzie), Art. 1</w:t>
      </w:r>
      <w:r w:rsidR="00072B83">
        <w:rPr>
          <w:rFonts w:ascii="Verdana" w:hAnsi="Verdana"/>
        </w:rPr>
        <w:t>8</w:t>
      </w:r>
      <w:r w:rsidR="00072B83" w:rsidRPr="005432CE">
        <w:rPr>
          <w:rFonts w:ascii="Verdana" w:hAnsi="Verdana"/>
        </w:rPr>
        <w:t xml:space="preserve"> (Proprietà dei materiali); Art. 1</w:t>
      </w:r>
      <w:r w:rsidR="00072B83">
        <w:rPr>
          <w:rFonts w:ascii="Verdana" w:hAnsi="Verdana"/>
        </w:rPr>
        <w:t>9</w:t>
      </w:r>
      <w:r w:rsidR="00072B83" w:rsidRPr="005432CE">
        <w:rPr>
          <w:rFonts w:ascii="Verdana" w:hAnsi="Verdana"/>
        </w:rPr>
        <w:t xml:space="preserve"> (Assegnazione del personale dell’Appaltatore), Art. </w:t>
      </w:r>
      <w:r w:rsidR="00072B83">
        <w:rPr>
          <w:rFonts w:ascii="Verdana" w:hAnsi="Verdana"/>
        </w:rPr>
        <w:t>20</w:t>
      </w:r>
      <w:r w:rsidR="00072B83" w:rsidRPr="005432CE">
        <w:rPr>
          <w:rFonts w:ascii="Verdana" w:hAnsi="Verdana"/>
        </w:rPr>
        <w:t xml:space="preserve"> (Brevetti e diritti d’autore), Art. </w:t>
      </w:r>
      <w:r w:rsidR="00072B83">
        <w:rPr>
          <w:rFonts w:ascii="Verdana" w:hAnsi="Verdana"/>
        </w:rPr>
        <w:t>21</w:t>
      </w:r>
      <w:r w:rsidR="00072B83" w:rsidRPr="005432CE">
        <w:rPr>
          <w:rFonts w:ascii="Verdana" w:hAnsi="Verdana"/>
        </w:rPr>
        <w:t xml:space="preserve"> (Avvio dell’esecuzione del Contratto), Art. </w:t>
      </w:r>
      <w:r w:rsidR="00072B83">
        <w:rPr>
          <w:rFonts w:ascii="Verdana" w:hAnsi="Verdana"/>
        </w:rPr>
        <w:t>22</w:t>
      </w:r>
      <w:r w:rsidR="00072B83" w:rsidRPr="005432CE">
        <w:rPr>
          <w:rFonts w:ascii="Verdana" w:hAnsi="Verdana"/>
        </w:rPr>
        <w:t xml:space="preserve"> (Sospensione dell’esecuzione del Contratto); Art. </w:t>
      </w:r>
      <w:r w:rsidR="00072B83">
        <w:rPr>
          <w:rFonts w:ascii="Verdana" w:hAnsi="Verdana"/>
        </w:rPr>
        <w:t>23</w:t>
      </w:r>
      <w:r w:rsidR="00072B83" w:rsidRPr="005432CE">
        <w:rPr>
          <w:rFonts w:ascii="Verdana" w:hAnsi="Verdana"/>
        </w:rPr>
        <w:t xml:space="preserve"> (Certificato di ultimazione delle prestazioni), Art. </w:t>
      </w:r>
      <w:r w:rsidR="00072B83">
        <w:rPr>
          <w:rFonts w:ascii="Verdana" w:hAnsi="Verdana"/>
        </w:rPr>
        <w:t>24</w:t>
      </w:r>
      <w:r w:rsidR="00072B83" w:rsidRPr="005432CE">
        <w:rPr>
          <w:rFonts w:ascii="Verdana" w:hAnsi="Verdana"/>
        </w:rPr>
        <w:t xml:space="preserve"> (Modifica del Contratto durante il periodo di efficacia) Art. </w:t>
      </w:r>
      <w:r w:rsidR="00072B83">
        <w:rPr>
          <w:rFonts w:ascii="Verdana" w:hAnsi="Verdana"/>
        </w:rPr>
        <w:t>25</w:t>
      </w:r>
      <w:r w:rsidR="00072B83" w:rsidRPr="005432CE">
        <w:rPr>
          <w:rFonts w:ascii="Verdana" w:hAnsi="Verdana"/>
        </w:rPr>
        <w:t xml:space="preserve"> (Tempi e modi della verifica di conformità delle prestazioni acquisite); Art. 2</w:t>
      </w:r>
      <w:r w:rsidR="00072B83">
        <w:rPr>
          <w:rFonts w:ascii="Verdana" w:hAnsi="Verdana"/>
        </w:rPr>
        <w:t>6</w:t>
      </w:r>
      <w:r w:rsidR="00072B83" w:rsidRPr="005432CE">
        <w:rPr>
          <w:rFonts w:ascii="Verdana" w:hAnsi="Verdana"/>
        </w:rPr>
        <w:t xml:space="preserve"> (Livello di servizio e penali); Art. 2</w:t>
      </w:r>
      <w:r w:rsidR="00072B83">
        <w:rPr>
          <w:rFonts w:ascii="Verdana" w:hAnsi="Verdana"/>
        </w:rPr>
        <w:t>7</w:t>
      </w:r>
      <w:r w:rsidR="00072B83" w:rsidRPr="005432CE">
        <w:rPr>
          <w:rFonts w:ascii="Verdana" w:hAnsi="Verdana"/>
        </w:rPr>
        <w:t xml:space="preserve"> (Divieto di cessione del Contratto e subappalto); Art. 2</w:t>
      </w:r>
      <w:r w:rsidR="00072B83">
        <w:rPr>
          <w:rFonts w:ascii="Verdana" w:hAnsi="Verdana"/>
        </w:rPr>
        <w:t>8</w:t>
      </w:r>
      <w:r w:rsidR="00072B83" w:rsidRPr="005432CE">
        <w:rPr>
          <w:rFonts w:ascii="Verdana" w:hAnsi="Verdana"/>
        </w:rPr>
        <w:t xml:space="preserve"> (Recesso); Art. 2</w:t>
      </w:r>
      <w:r w:rsidR="00072B83">
        <w:rPr>
          <w:rFonts w:ascii="Verdana" w:hAnsi="Verdana"/>
        </w:rPr>
        <w:t>9</w:t>
      </w:r>
      <w:r w:rsidR="00072B83" w:rsidRPr="005432CE">
        <w:rPr>
          <w:rFonts w:ascii="Verdana" w:hAnsi="Verdana"/>
        </w:rPr>
        <w:t xml:space="preserve"> (Normativa in tema di contratti pubblici e verifiche sui requisiti) Art. </w:t>
      </w:r>
      <w:r w:rsidR="00072B83">
        <w:rPr>
          <w:rFonts w:ascii="Verdana" w:hAnsi="Verdana"/>
        </w:rPr>
        <w:t>30</w:t>
      </w:r>
      <w:r w:rsidR="00072B83" w:rsidRPr="005432CE">
        <w:rPr>
          <w:rFonts w:ascii="Verdana" w:hAnsi="Verdana"/>
        </w:rPr>
        <w:t xml:space="preserve"> (Risoluzione del Contratto); Art. </w:t>
      </w:r>
      <w:r w:rsidR="00072B83">
        <w:rPr>
          <w:rFonts w:ascii="Verdana" w:hAnsi="Verdana"/>
        </w:rPr>
        <w:t>31</w:t>
      </w:r>
      <w:r w:rsidR="00072B83" w:rsidRPr="005432CE">
        <w:rPr>
          <w:rFonts w:ascii="Verdana" w:hAnsi="Verdana"/>
        </w:rPr>
        <w:t xml:space="preserve"> (Clausole risolutive espresse); Art. </w:t>
      </w:r>
      <w:r w:rsidR="00072B83">
        <w:rPr>
          <w:rFonts w:ascii="Verdana" w:hAnsi="Verdana"/>
        </w:rPr>
        <w:t>32</w:t>
      </w:r>
      <w:r w:rsidR="00072B83" w:rsidRPr="005432CE">
        <w:rPr>
          <w:rFonts w:ascii="Verdana" w:hAnsi="Verdana"/>
        </w:rPr>
        <w:t xml:space="preserve"> (Obblighi di tracciabilità dei flussi finanziari); Art. </w:t>
      </w:r>
      <w:r w:rsidR="00072B83">
        <w:rPr>
          <w:rFonts w:ascii="Verdana" w:hAnsi="Verdana"/>
        </w:rPr>
        <w:t>33</w:t>
      </w:r>
      <w:r w:rsidR="00072B83" w:rsidRPr="005432CE">
        <w:rPr>
          <w:rFonts w:ascii="Verdana" w:hAnsi="Verdana"/>
        </w:rPr>
        <w:t xml:space="preserve"> (Obblighi di tracciabilità dei flussi finanziari nei contratti collegati al presente Appalto e in quelli della Filiera); Art. </w:t>
      </w:r>
      <w:r w:rsidR="00072B83">
        <w:rPr>
          <w:rFonts w:ascii="Verdana" w:hAnsi="Verdana"/>
        </w:rPr>
        <w:t>34</w:t>
      </w:r>
      <w:r w:rsidR="00072B83" w:rsidRPr="005432CE">
        <w:rPr>
          <w:rFonts w:ascii="Verdana" w:hAnsi="Verdana"/>
        </w:rPr>
        <w:t xml:space="preserve"> (Lavoro e sicurezza); Art. </w:t>
      </w:r>
      <w:r w:rsidR="00072B83">
        <w:rPr>
          <w:rFonts w:ascii="Verdana" w:hAnsi="Verdana"/>
        </w:rPr>
        <w:t>35</w:t>
      </w:r>
      <w:r w:rsidR="00072B83" w:rsidRPr="005432CE">
        <w:rPr>
          <w:rFonts w:ascii="Verdana" w:hAnsi="Verdana"/>
        </w:rPr>
        <w:t xml:space="preserve"> (Intervento sostitutivo della Stazione Appaltante in caso di inadempienze contributive e retributive dell’Appaltatore o del subappaltatore); Art. </w:t>
      </w:r>
      <w:r w:rsidR="00072B83">
        <w:rPr>
          <w:rFonts w:ascii="Verdana" w:hAnsi="Verdana"/>
        </w:rPr>
        <w:t>36</w:t>
      </w:r>
      <w:r w:rsidR="00072B83" w:rsidRPr="005432CE">
        <w:rPr>
          <w:rFonts w:ascii="Verdana" w:hAnsi="Verdana"/>
        </w:rPr>
        <w:t xml:space="preserve"> (Responsabili delle Parti e comunicazioni relative al Contratto); Art. </w:t>
      </w:r>
      <w:r w:rsidR="00072B83">
        <w:rPr>
          <w:rFonts w:ascii="Verdana" w:hAnsi="Verdana"/>
        </w:rPr>
        <w:t>37</w:t>
      </w:r>
      <w:r w:rsidR="00072B83" w:rsidRPr="005432CE">
        <w:rPr>
          <w:rFonts w:ascii="Verdana" w:hAnsi="Verdana"/>
        </w:rPr>
        <w:t xml:space="preserve"> (Spese); Art. </w:t>
      </w:r>
      <w:r w:rsidR="00072B83">
        <w:rPr>
          <w:rFonts w:ascii="Verdana" w:hAnsi="Verdana"/>
        </w:rPr>
        <w:t xml:space="preserve">38 </w:t>
      </w:r>
      <w:r w:rsidR="00072B83" w:rsidRPr="005432CE">
        <w:rPr>
          <w:rFonts w:ascii="Verdana" w:hAnsi="Verdana"/>
        </w:rPr>
        <w:t>(Foro competente); Art.</w:t>
      </w:r>
      <w:r w:rsidR="00072B83">
        <w:rPr>
          <w:rFonts w:ascii="Verdana" w:hAnsi="Verdana"/>
        </w:rPr>
        <w:t>39</w:t>
      </w:r>
      <w:r w:rsidR="00072B83" w:rsidRPr="005432CE">
        <w:rPr>
          <w:rFonts w:ascii="Verdana" w:hAnsi="Verdana"/>
        </w:rPr>
        <w:t xml:space="preserve"> (Trattamento dei dati personali e riservatezza delle informazioni);  Art. </w:t>
      </w:r>
      <w:r w:rsidR="00072B83">
        <w:rPr>
          <w:rFonts w:ascii="Verdana" w:hAnsi="Verdana"/>
        </w:rPr>
        <w:t>40</w:t>
      </w:r>
      <w:r w:rsidR="00072B83" w:rsidRPr="005432CE">
        <w:rPr>
          <w:rFonts w:ascii="Verdana" w:hAnsi="Verdana"/>
        </w:rPr>
        <w:t xml:space="preserve"> (Varie). </w:t>
      </w:r>
    </w:p>
    <w:p w14:paraId="12DCFAD2" w14:textId="77777777"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14:paraId="428F040F" w14:textId="77777777"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14:paraId="039B8F04" w14:textId="77777777"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14:paraId="01CA3E96" w14:textId="77777777"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14:paraId="46CFA176" w14:textId="77777777"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14:paraId="267202B7" w14:textId="77777777" w:rsidR="005D739A" w:rsidRPr="005D739A" w:rsidRDefault="005D739A" w:rsidP="005D739A">
      <w:pPr>
        <w:pStyle w:val="usoboll1"/>
        <w:numPr>
          <w:ilvl w:val="0"/>
          <w:numId w:val="55"/>
        </w:num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5D739A">
        <w:rPr>
          <w:rFonts w:ascii="Verdana" w:hAnsi="Verdana" w:cs="Verdana"/>
          <w:sz w:val="20"/>
          <w:szCs w:val="20"/>
        </w:rPr>
        <w:t xml:space="preserve">in caso di discordanza tra </w:t>
      </w:r>
      <w:r>
        <w:rPr>
          <w:rFonts w:ascii="Verdana" w:hAnsi="Verdana" w:cs="Verdana"/>
          <w:sz w:val="20"/>
          <w:szCs w:val="20"/>
        </w:rPr>
        <w:t>i</w:t>
      </w:r>
      <w:r w:rsidRPr="005D739A">
        <w:rPr>
          <w:rFonts w:ascii="Verdana" w:hAnsi="Verdana" w:cs="Verdana"/>
          <w:sz w:val="20"/>
          <w:szCs w:val="20"/>
        </w:rPr>
        <w:t xml:space="preserve"> valori unitari e i valori complessivi offerti per le singole prestazioni, prevarranno i valori unitari offerti e pertanto si provvederà a rideterminare gli esatti valori complessivi delle singole prestazioni, fermo restando i valori unitari offerti;</w:t>
      </w:r>
    </w:p>
    <w:p w14:paraId="7EDEDE99" w14:textId="77777777" w:rsidR="005D739A" w:rsidRPr="005D739A" w:rsidRDefault="005D739A" w:rsidP="005D739A">
      <w:pPr>
        <w:pStyle w:val="usoboll1"/>
        <w:numPr>
          <w:ilvl w:val="0"/>
          <w:numId w:val="55"/>
        </w:num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5D739A">
        <w:rPr>
          <w:rFonts w:ascii="Verdana" w:hAnsi="Verdana"/>
          <w:sz w:val="20"/>
          <w:szCs w:val="20"/>
        </w:rPr>
        <w:t xml:space="preserve">in caso di discordanza tra la sommatoria dei valori complessivi offerti per singola prestazione e l’indicazione del valore complessivamente offerto, i valori complessivi per prestazione prevarranno sul valore complessivo e, di conseguenza, si provvederà a rideterminare l’esatto </w:t>
      </w:r>
      <w:r w:rsidRPr="005D739A">
        <w:rPr>
          <w:rFonts w:ascii="Verdana" w:hAnsi="Verdana"/>
          <w:sz w:val="20"/>
          <w:szCs w:val="20"/>
        </w:rPr>
        <w:lastRenderedPageBreak/>
        <w:t>valore complessivo, fermo restando i valori complessivi offerti per singola prestazione;</w:t>
      </w:r>
    </w:p>
    <w:p w14:paraId="470E95A8" w14:textId="77777777"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14:paraId="15903476" w14:textId="77777777"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="005D739A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negoziazione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>;</w:t>
      </w:r>
    </w:p>
    <w:p w14:paraId="583951F5" w14:textId="77777777"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14:paraId="2A09FB99" w14:textId="77777777"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5C05DD05" w14:textId="77777777"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14:paraId="67FCEABF" w14:textId="77777777"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17C536F9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03DABEDC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79D8AD93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0887CE53" w14:textId="77777777" w:rsidR="00FB6077" w:rsidRPr="00FD2ADB" w:rsidRDefault="00FB6077" w:rsidP="00FB6077">
      <w:pPr>
        <w:tabs>
          <w:tab w:val="center" w:pos="4986"/>
        </w:tabs>
        <w:jc w:val="both"/>
        <w:rPr>
          <w:rFonts w:ascii="Verdana" w:hAnsi="Verdana" w:cs="Arial"/>
        </w:rPr>
      </w:pPr>
      <w:r w:rsidRPr="00FD2ADB">
        <w:rPr>
          <w:rFonts w:ascii="Verdana" w:hAnsi="Verdana" w:cs="Arial"/>
        </w:rPr>
        <w:t>Operatore____________________         Sottoscrizione</w:t>
      </w:r>
      <w:r w:rsidR="00523192" w:rsidRPr="00FD2ADB">
        <w:rPr>
          <w:rFonts w:ascii="Verdana" w:hAnsi="Verdana" w:cs="Arial"/>
        </w:rPr>
        <w:t xml:space="preserve"> </w:t>
      </w:r>
      <w:r w:rsidRPr="00FD2ADB">
        <w:rPr>
          <w:rFonts w:ascii="Verdana" w:hAnsi="Verdana" w:cs="Arial"/>
        </w:rPr>
        <w:t>______________________</w:t>
      </w:r>
    </w:p>
    <w:p w14:paraId="5D030B9C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58E1481F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598AF0B" w14:textId="77777777"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5C0680">
      <w:headerReference w:type="default" r:id="rId9"/>
      <w:footerReference w:type="default" r:id="rId10"/>
      <w:pgSz w:w="11906" w:h="16838"/>
      <w:pgMar w:top="1702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101E7" w14:textId="77777777" w:rsidR="00092C60" w:rsidRDefault="00092C60">
      <w:r>
        <w:separator/>
      </w:r>
    </w:p>
  </w:endnote>
  <w:endnote w:type="continuationSeparator" w:id="0">
    <w:p w14:paraId="7C7E763A" w14:textId="77777777" w:rsidR="00092C60" w:rsidRDefault="0009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984E" w14:textId="7F65D55D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1D2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424DF3F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7258" w14:textId="77777777" w:rsidR="00092C60" w:rsidRDefault="00092C60">
      <w:r>
        <w:separator/>
      </w:r>
    </w:p>
  </w:footnote>
  <w:footnote w:type="continuationSeparator" w:id="0">
    <w:p w14:paraId="5F2A29B6" w14:textId="77777777" w:rsidR="00092C60" w:rsidRDefault="0009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F54B8" w14:textId="161DB5B8" w:rsidR="00180E46" w:rsidRPr="005C0680" w:rsidRDefault="005C0680" w:rsidP="005C0680">
    <w:pPr>
      <w:pStyle w:val="Intestazione"/>
      <w:jc w:val="center"/>
      <w:rPr>
        <w:sz w:val="16"/>
        <w:szCs w:val="16"/>
      </w:rPr>
    </w:pPr>
    <w:r w:rsidRPr="005C0680">
      <w:rPr>
        <w:rFonts w:ascii="Verdana" w:hAnsi="Verdana"/>
        <w:sz w:val="16"/>
        <w:szCs w:val="16"/>
      </w:rPr>
      <w:t xml:space="preserve">Procedura negoziata senza previa </w:t>
    </w:r>
    <w:r w:rsidRPr="005C0680">
      <w:rPr>
        <w:rFonts w:ascii="Verdana" w:hAnsi="Verdana"/>
        <w:color w:val="000000" w:themeColor="text1"/>
        <w:sz w:val="16"/>
        <w:szCs w:val="16"/>
      </w:rPr>
      <w:t xml:space="preserve">pubblicazione di un bando di gara, ai sensi dell’art. 63, comma 2°, lett. b), </w:t>
    </w:r>
    <w:r w:rsidR="00A65488">
      <w:rPr>
        <w:rFonts w:ascii="Verdana" w:hAnsi="Verdana"/>
        <w:color w:val="000000" w:themeColor="text1"/>
        <w:sz w:val="16"/>
        <w:szCs w:val="16"/>
      </w:rPr>
      <w:t>n. 3, del D.Lgs. 50/2016, volta</w:t>
    </w:r>
    <w:r w:rsidRPr="005C0680">
      <w:rPr>
        <w:rFonts w:ascii="Verdana" w:hAnsi="Verdana"/>
        <w:color w:val="000000" w:themeColor="text1"/>
        <w:sz w:val="16"/>
        <w:szCs w:val="16"/>
      </w:rPr>
      <w:t xml:space="preserve"> all’acquisizione della fornitura per il “Piano di Mantenimento ed Adeguamento dell’infrastruttura IT (hardware, software e relativi servizi accessori) per il Centro Elettronico Nazionale dell’INPS per gli anni 2018 –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C624852"/>
    <w:multiLevelType w:val="hybridMultilevel"/>
    <w:tmpl w:val="5E683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0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7"/>
  </w:num>
  <w:num w:numId="4">
    <w:abstractNumId w:val="55"/>
  </w:num>
  <w:num w:numId="5">
    <w:abstractNumId w:val="41"/>
  </w:num>
  <w:num w:numId="6">
    <w:abstractNumId w:val="53"/>
  </w:num>
  <w:num w:numId="7">
    <w:abstractNumId w:val="45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5"/>
  </w:num>
  <w:num w:numId="17">
    <w:abstractNumId w:val="49"/>
  </w:num>
  <w:num w:numId="18">
    <w:abstractNumId w:val="43"/>
  </w:num>
  <w:num w:numId="19">
    <w:abstractNumId w:val="52"/>
  </w:num>
  <w:num w:numId="20">
    <w:abstractNumId w:val="26"/>
  </w:num>
  <w:num w:numId="21">
    <w:abstractNumId w:val="15"/>
  </w:num>
  <w:num w:numId="22">
    <w:abstractNumId w:val="1"/>
  </w:num>
  <w:num w:numId="23">
    <w:abstractNumId w:val="20"/>
  </w:num>
  <w:num w:numId="24">
    <w:abstractNumId w:val="35"/>
  </w:num>
  <w:num w:numId="25">
    <w:abstractNumId w:val="3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4"/>
  </w:num>
  <w:num w:numId="40">
    <w:abstractNumId w:val="23"/>
  </w:num>
  <w:num w:numId="41">
    <w:abstractNumId w:val="25"/>
  </w:num>
  <w:num w:numId="42">
    <w:abstractNumId w:val="47"/>
  </w:num>
  <w:num w:numId="43">
    <w:abstractNumId w:val="21"/>
  </w:num>
  <w:num w:numId="44">
    <w:abstractNumId w:val="46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8"/>
  </w:num>
  <w:num w:numId="51">
    <w:abstractNumId w:val="42"/>
  </w:num>
  <w:num w:numId="52">
    <w:abstractNumId w:val="10"/>
  </w:num>
  <w:num w:numId="53">
    <w:abstractNumId w:val="38"/>
  </w:num>
  <w:num w:numId="54">
    <w:abstractNumId w:val="50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2CE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1AE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6643F"/>
    <w:rsid w:val="00070E65"/>
    <w:rsid w:val="000721B6"/>
    <w:rsid w:val="00072B83"/>
    <w:rsid w:val="00073B32"/>
    <w:rsid w:val="0007716A"/>
    <w:rsid w:val="000778C0"/>
    <w:rsid w:val="00080F09"/>
    <w:rsid w:val="000813B1"/>
    <w:rsid w:val="00081E92"/>
    <w:rsid w:val="00082A98"/>
    <w:rsid w:val="0008674F"/>
    <w:rsid w:val="000868B5"/>
    <w:rsid w:val="00086FA4"/>
    <w:rsid w:val="0009109C"/>
    <w:rsid w:val="00091880"/>
    <w:rsid w:val="00092C6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1B9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07DA7"/>
    <w:rsid w:val="00110310"/>
    <w:rsid w:val="001105BB"/>
    <w:rsid w:val="001115D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0D25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0D8D"/>
    <w:rsid w:val="001B2013"/>
    <w:rsid w:val="001B262A"/>
    <w:rsid w:val="001B3653"/>
    <w:rsid w:val="001C19E4"/>
    <w:rsid w:val="001C2A27"/>
    <w:rsid w:val="001C3729"/>
    <w:rsid w:val="001C52F2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A60"/>
    <w:rsid w:val="001F5D11"/>
    <w:rsid w:val="001F6982"/>
    <w:rsid w:val="001F6C23"/>
    <w:rsid w:val="001F71E8"/>
    <w:rsid w:val="001F7200"/>
    <w:rsid w:val="00200DD6"/>
    <w:rsid w:val="00200EEA"/>
    <w:rsid w:val="00201864"/>
    <w:rsid w:val="00207004"/>
    <w:rsid w:val="00210D43"/>
    <w:rsid w:val="002132D2"/>
    <w:rsid w:val="00213B6E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185"/>
    <w:rsid w:val="00282EF0"/>
    <w:rsid w:val="00284871"/>
    <w:rsid w:val="00285B64"/>
    <w:rsid w:val="00286620"/>
    <w:rsid w:val="00290A03"/>
    <w:rsid w:val="00290BBF"/>
    <w:rsid w:val="002912D1"/>
    <w:rsid w:val="00291D6E"/>
    <w:rsid w:val="00292B1C"/>
    <w:rsid w:val="00295917"/>
    <w:rsid w:val="00295B86"/>
    <w:rsid w:val="00295C9A"/>
    <w:rsid w:val="00296376"/>
    <w:rsid w:val="00297E04"/>
    <w:rsid w:val="002A0855"/>
    <w:rsid w:val="002A5571"/>
    <w:rsid w:val="002A7513"/>
    <w:rsid w:val="002B186C"/>
    <w:rsid w:val="002B1D8E"/>
    <w:rsid w:val="002B1F71"/>
    <w:rsid w:val="002B42B1"/>
    <w:rsid w:val="002B5F36"/>
    <w:rsid w:val="002C25CB"/>
    <w:rsid w:val="002C53A9"/>
    <w:rsid w:val="002D14E2"/>
    <w:rsid w:val="002D55D0"/>
    <w:rsid w:val="002E695C"/>
    <w:rsid w:val="002E7501"/>
    <w:rsid w:val="002E797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0C18"/>
    <w:rsid w:val="00353B58"/>
    <w:rsid w:val="003542C1"/>
    <w:rsid w:val="003569AD"/>
    <w:rsid w:val="003620E4"/>
    <w:rsid w:val="003662F0"/>
    <w:rsid w:val="003669A9"/>
    <w:rsid w:val="00373BA1"/>
    <w:rsid w:val="00374779"/>
    <w:rsid w:val="00376443"/>
    <w:rsid w:val="00381AAC"/>
    <w:rsid w:val="00382564"/>
    <w:rsid w:val="00383A66"/>
    <w:rsid w:val="0038458A"/>
    <w:rsid w:val="003852E0"/>
    <w:rsid w:val="0039035A"/>
    <w:rsid w:val="0039093F"/>
    <w:rsid w:val="003A08E9"/>
    <w:rsid w:val="003A22FD"/>
    <w:rsid w:val="003A399B"/>
    <w:rsid w:val="003A5141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5FEF"/>
    <w:rsid w:val="003C6043"/>
    <w:rsid w:val="003C7B05"/>
    <w:rsid w:val="003D03BF"/>
    <w:rsid w:val="003D2206"/>
    <w:rsid w:val="003D3157"/>
    <w:rsid w:val="003D4C00"/>
    <w:rsid w:val="003D6DE9"/>
    <w:rsid w:val="003D7036"/>
    <w:rsid w:val="003E065C"/>
    <w:rsid w:val="003E07A0"/>
    <w:rsid w:val="003E08A6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443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487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E7F7B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7571C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0680"/>
    <w:rsid w:val="005C159B"/>
    <w:rsid w:val="005C23E4"/>
    <w:rsid w:val="005C40CD"/>
    <w:rsid w:val="005C4A98"/>
    <w:rsid w:val="005D358E"/>
    <w:rsid w:val="005D5B15"/>
    <w:rsid w:val="005D6AD8"/>
    <w:rsid w:val="005D739A"/>
    <w:rsid w:val="005E121F"/>
    <w:rsid w:val="005E1800"/>
    <w:rsid w:val="005E21A7"/>
    <w:rsid w:val="005E2E02"/>
    <w:rsid w:val="005E30D5"/>
    <w:rsid w:val="005E580F"/>
    <w:rsid w:val="005E6ABA"/>
    <w:rsid w:val="005E74A9"/>
    <w:rsid w:val="005F49E8"/>
    <w:rsid w:val="005F71C1"/>
    <w:rsid w:val="00601EFC"/>
    <w:rsid w:val="006024CB"/>
    <w:rsid w:val="006034D3"/>
    <w:rsid w:val="00603EA4"/>
    <w:rsid w:val="006045E6"/>
    <w:rsid w:val="00607404"/>
    <w:rsid w:val="00607699"/>
    <w:rsid w:val="00607CC8"/>
    <w:rsid w:val="00610928"/>
    <w:rsid w:val="00612DF6"/>
    <w:rsid w:val="006131D6"/>
    <w:rsid w:val="0061378C"/>
    <w:rsid w:val="006138B0"/>
    <w:rsid w:val="00616711"/>
    <w:rsid w:val="00616C08"/>
    <w:rsid w:val="00617569"/>
    <w:rsid w:val="00623AF9"/>
    <w:rsid w:val="006258F9"/>
    <w:rsid w:val="00626693"/>
    <w:rsid w:val="006273D0"/>
    <w:rsid w:val="00627757"/>
    <w:rsid w:val="00631402"/>
    <w:rsid w:val="00631D6A"/>
    <w:rsid w:val="00636D6C"/>
    <w:rsid w:val="00641297"/>
    <w:rsid w:val="006415E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4208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5759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2725"/>
    <w:rsid w:val="006F3E07"/>
    <w:rsid w:val="006F40F3"/>
    <w:rsid w:val="006F4C7D"/>
    <w:rsid w:val="006F55F9"/>
    <w:rsid w:val="006F5D51"/>
    <w:rsid w:val="006F7C76"/>
    <w:rsid w:val="007005DA"/>
    <w:rsid w:val="00701512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19E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768D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6EE9"/>
    <w:rsid w:val="00767A10"/>
    <w:rsid w:val="00771D22"/>
    <w:rsid w:val="00772BBA"/>
    <w:rsid w:val="007804E7"/>
    <w:rsid w:val="00783E9B"/>
    <w:rsid w:val="007846D0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028A"/>
    <w:rsid w:val="007D17B3"/>
    <w:rsid w:val="007D1A8F"/>
    <w:rsid w:val="007D1FFF"/>
    <w:rsid w:val="007D21A5"/>
    <w:rsid w:val="007D3CC7"/>
    <w:rsid w:val="007D75F5"/>
    <w:rsid w:val="007E19AD"/>
    <w:rsid w:val="007E2451"/>
    <w:rsid w:val="007E588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1CE"/>
    <w:rsid w:val="008727A8"/>
    <w:rsid w:val="00873064"/>
    <w:rsid w:val="00874A21"/>
    <w:rsid w:val="008754E2"/>
    <w:rsid w:val="00881003"/>
    <w:rsid w:val="00881265"/>
    <w:rsid w:val="00884805"/>
    <w:rsid w:val="00887B6E"/>
    <w:rsid w:val="00890C9A"/>
    <w:rsid w:val="00892B03"/>
    <w:rsid w:val="00892C45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2DFB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1D7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42F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5D1"/>
    <w:rsid w:val="00A05688"/>
    <w:rsid w:val="00A07964"/>
    <w:rsid w:val="00A07CEA"/>
    <w:rsid w:val="00A10A84"/>
    <w:rsid w:val="00A10E70"/>
    <w:rsid w:val="00A12316"/>
    <w:rsid w:val="00A12438"/>
    <w:rsid w:val="00A140A9"/>
    <w:rsid w:val="00A14290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09CA"/>
    <w:rsid w:val="00A417B6"/>
    <w:rsid w:val="00A41E13"/>
    <w:rsid w:val="00A434B0"/>
    <w:rsid w:val="00A4356C"/>
    <w:rsid w:val="00A44750"/>
    <w:rsid w:val="00A454C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5488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14F8"/>
    <w:rsid w:val="00AA29FD"/>
    <w:rsid w:val="00AA45DE"/>
    <w:rsid w:val="00AA7B1E"/>
    <w:rsid w:val="00AB0F08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1E83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1DD8"/>
    <w:rsid w:val="00BB2D40"/>
    <w:rsid w:val="00BB6413"/>
    <w:rsid w:val="00BB6F7F"/>
    <w:rsid w:val="00BB70AC"/>
    <w:rsid w:val="00BC037B"/>
    <w:rsid w:val="00BC0D37"/>
    <w:rsid w:val="00BC4BF9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3FBE"/>
    <w:rsid w:val="00BE41E8"/>
    <w:rsid w:val="00BE5488"/>
    <w:rsid w:val="00BE7EF1"/>
    <w:rsid w:val="00BF491E"/>
    <w:rsid w:val="00BF57FF"/>
    <w:rsid w:val="00BF58A2"/>
    <w:rsid w:val="00C01080"/>
    <w:rsid w:val="00C01391"/>
    <w:rsid w:val="00C013B6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363F5"/>
    <w:rsid w:val="00C409B8"/>
    <w:rsid w:val="00C40B28"/>
    <w:rsid w:val="00C4266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CC8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57C6"/>
    <w:rsid w:val="00CD6186"/>
    <w:rsid w:val="00CD6225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0CB5"/>
    <w:rsid w:val="00D61319"/>
    <w:rsid w:val="00D62ACF"/>
    <w:rsid w:val="00D62B1E"/>
    <w:rsid w:val="00D62C5F"/>
    <w:rsid w:val="00D62DED"/>
    <w:rsid w:val="00D64C57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1274"/>
    <w:rsid w:val="00D82794"/>
    <w:rsid w:val="00D83A1C"/>
    <w:rsid w:val="00D86DBA"/>
    <w:rsid w:val="00D903E0"/>
    <w:rsid w:val="00D93B7B"/>
    <w:rsid w:val="00D94925"/>
    <w:rsid w:val="00D96FA0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0AC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CB8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77C97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336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273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55B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3732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2D45"/>
    <w:rsid w:val="00FB379F"/>
    <w:rsid w:val="00FB44F2"/>
    <w:rsid w:val="00FB6077"/>
    <w:rsid w:val="00FC0376"/>
    <w:rsid w:val="00FC0637"/>
    <w:rsid w:val="00FC410C"/>
    <w:rsid w:val="00FC4409"/>
    <w:rsid w:val="00FC603D"/>
    <w:rsid w:val="00FC78BA"/>
    <w:rsid w:val="00FD1E61"/>
    <w:rsid w:val="00FD2ADB"/>
    <w:rsid w:val="00FD3DA5"/>
    <w:rsid w:val="00FD4AFE"/>
    <w:rsid w:val="00FD6F52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4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nhideWhenUsed/>
    <w:locked/>
    <w:rsid w:val="00D26073"/>
    <w:rPr>
      <w:sz w:val="16"/>
      <w:szCs w:val="16"/>
    </w:rPr>
  </w:style>
  <w:style w:type="paragraph" w:customStyle="1" w:styleId="Normale14">
    <w:name w:val="Normale 14"/>
    <w:basedOn w:val="Normale"/>
    <w:rsid w:val="007D028A"/>
    <w:pPr>
      <w:tabs>
        <w:tab w:val="left" w:pos="794"/>
      </w:tabs>
      <w:ind w:right="113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B4E7-76D3-45C4-A889-D80D7649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2017-11-29T11:48:00Z</dcterms:created>
  <dcterms:modified xsi:type="dcterms:W3CDTF">2017-12-20T15:44:00Z</dcterms:modified>
</cp:coreProperties>
</file>