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PER “</w:t>
      </w:r>
      <w:r w:rsidR="00531003" w:rsidRPr="00531003">
        <w:rPr>
          <w:rFonts w:ascii="Arial" w:hAnsi="Arial" w:cs="Arial"/>
          <w:b/>
          <w:sz w:val="15"/>
          <w:szCs w:val="15"/>
        </w:rPr>
        <w:t>SOSTITUZIONE DELLE N. 2 POMPE DI CALORE, RISPETTIVAMENTE DI 111 KW E 74 KW, NELLO STABILE DELLA DIREZIONE REGIONALE SARDEGNA, VIALE DIAZ 35 – CAGLIARI</w:t>
      </w:r>
      <w:r w:rsidR="002F3487">
        <w:rPr>
          <w:rFonts w:ascii="Arial" w:hAnsi="Arial" w:cs="Arial"/>
          <w:b/>
          <w:sz w:val="15"/>
          <w:szCs w:val="15"/>
        </w:rPr>
        <w:t>”</w:t>
      </w:r>
      <w:r w:rsidRPr="00A049B0">
        <w:rPr>
          <w:rFonts w:ascii="Arial" w:hAnsi="Arial" w:cs="Arial"/>
          <w:b/>
          <w:sz w:val="15"/>
          <w:szCs w:val="15"/>
        </w:rPr>
        <w:t xml:space="preserve">, DA AFFIDARSI A </w:t>
      </w:r>
      <w:r w:rsidR="002F3487">
        <w:rPr>
          <w:rFonts w:ascii="Arial" w:hAnsi="Arial" w:cs="Arial"/>
          <w:b/>
          <w:sz w:val="15"/>
          <w:szCs w:val="15"/>
        </w:rPr>
        <w:t>MISURA</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2F3487">
              <w:rPr>
                <w:rFonts w:ascii="Arial" w:hAnsi="Arial" w:cs="Arial"/>
                <w:sz w:val="14"/>
                <w:szCs w:val="14"/>
              </w:rPr>
              <w:t>PROCEDURA NEGOZIATA SENZA PREVIA PUBBLICAZIONE DI BANDO PER APPALTO DI SOLA ESECUZIONE DI LAVORI PER “</w:t>
            </w:r>
            <w:r w:rsidR="00531003" w:rsidRPr="00531003">
              <w:rPr>
                <w:rFonts w:ascii="Arial" w:hAnsi="Arial" w:cs="Arial"/>
                <w:sz w:val="14"/>
                <w:szCs w:val="14"/>
              </w:rPr>
              <w:t>SOSTITUZIONE DELLE N. 2 POMPE DI CALORE, RISPETTIVAMENTE DI 111 KW E 74 KW, NELLO STABILE DELLA DIREZIONE REGIONALE SARDEGNA, VIALE DIAZ 35 – CAGLIARI</w:t>
            </w:r>
            <w:r w:rsidRPr="002F3487">
              <w:rPr>
                <w:rFonts w:ascii="Arial" w:hAnsi="Arial" w:cs="Arial"/>
                <w:sz w:val="14"/>
                <w:szCs w:val="14"/>
              </w:rPr>
              <w:t>”, 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31003">
            <w:pPr>
              <w:rPr>
                <w:rFonts w:ascii="Arial" w:hAnsi="Arial" w:cs="Arial"/>
                <w:color w:val="000000"/>
                <w:sz w:val="14"/>
                <w:szCs w:val="14"/>
              </w:rPr>
            </w:pPr>
            <w:r w:rsidRPr="00531003">
              <w:rPr>
                <w:rFonts w:ascii="Arial" w:hAnsi="Arial" w:cs="Arial"/>
                <w:color w:val="000000"/>
                <w:sz w:val="14"/>
                <w:szCs w:val="14"/>
              </w:rPr>
              <w:t>73101552BE</w:t>
            </w:r>
          </w:p>
          <w:p w:rsidR="00531003" w:rsidRPr="003A443E" w:rsidRDefault="00531003">
            <w:pPr>
              <w:rPr>
                <w:color w:val="000000"/>
              </w:rPr>
            </w:pPr>
            <w:r w:rsidRPr="00531003">
              <w:rPr>
                <w:rFonts w:ascii="Arial" w:hAnsi="Arial" w:cs="Arial"/>
                <w:color w:val="000000"/>
                <w:sz w:val="14"/>
                <w:szCs w:val="14"/>
              </w:rPr>
              <w:t>F22H17000100005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320473">
              <w:rPr>
                <w:rFonts w:ascii="Arial" w:hAnsi="Arial" w:cs="Arial"/>
                <w:b/>
                <w:color w:val="000000"/>
                <w:w w:val="0"/>
                <w:sz w:val="14"/>
                <w:szCs w:val="14"/>
                <w:highlight w:val="yellow"/>
              </w:rPr>
              <w:t>28</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32047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proofErr w:type="spellStart"/>
      <w:r>
        <w:rPr>
          <w:rFonts w:ascii="Arial" w:hAnsi="Arial" w:cs="Arial"/>
          <w:b/>
          <w:color w:val="000000"/>
          <w:sz w:val="15"/>
          <w:szCs w:val="15"/>
          <w:highlight w:val="yellow"/>
        </w:rPr>
        <w:t>E’</w:t>
      </w:r>
      <w:r w:rsidR="002F3487">
        <w:rPr>
          <w:rFonts w:ascii="Arial" w:hAnsi="Arial" w:cs="Arial"/>
          <w:b/>
          <w:color w:val="000000"/>
          <w:sz w:val="15"/>
          <w:szCs w:val="15"/>
          <w:highlight w:val="yellow"/>
        </w:rPr>
        <w:t>vietato</w:t>
      </w:r>
      <w:proofErr w:type="spellEnd"/>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2F3487">
        <w:rPr>
          <w:rFonts w:ascii="Arial" w:hAnsi="Arial" w:cs="Arial"/>
          <w:b/>
          <w:color w:val="000000"/>
          <w:sz w:val="15"/>
          <w:szCs w:val="15"/>
          <w:highlight w:val="yellow"/>
        </w:rPr>
        <w:t xml:space="preserve">specializzate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436D48" w:rsidRPr="00436D48">
        <w:rPr>
          <w:rFonts w:ascii="Arial" w:hAnsi="Arial" w:cs="Arial"/>
          <w:b/>
          <w:color w:val="000000"/>
          <w:sz w:val="15"/>
          <w:szCs w:val="15"/>
          <w:highlight w:val="yellow"/>
        </w:rPr>
        <w:t>OS</w:t>
      </w:r>
      <w:r>
        <w:rPr>
          <w:rFonts w:ascii="Arial" w:hAnsi="Arial" w:cs="Arial"/>
          <w:b/>
          <w:color w:val="000000"/>
          <w:sz w:val="15"/>
          <w:szCs w:val="15"/>
          <w:highlight w:val="yellow"/>
        </w:rPr>
        <w:t>28</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 xml:space="preserve">1, </w:t>
      </w:r>
      <w:proofErr w:type="spellStart"/>
      <w:r w:rsidR="00436D48">
        <w:rPr>
          <w:rFonts w:ascii="Arial" w:hAnsi="Arial" w:cs="Arial"/>
          <w:b/>
          <w:color w:val="000000"/>
          <w:sz w:val="15"/>
          <w:szCs w:val="15"/>
          <w:highlight w:val="yellow"/>
        </w:rPr>
        <w:t>D.Lgs.</w:t>
      </w:r>
      <w:proofErr w:type="spellEnd"/>
      <w:r w:rsidR="00436D48">
        <w:rPr>
          <w:rFonts w:ascii="Arial" w:hAnsi="Arial" w:cs="Arial"/>
          <w:b/>
          <w:color w:val="000000"/>
          <w:sz w:val="15"/>
          <w:szCs w:val="15"/>
          <w:highlight w:val="yellow"/>
        </w:rPr>
        <w:t xml:space="preserve">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OS</w:t>
      </w:r>
      <w:r w:rsidR="00320473">
        <w:rPr>
          <w:rFonts w:ascii="Arial" w:hAnsi="Arial" w:cs="Arial"/>
          <w:b/>
          <w:w w:val="0"/>
          <w:sz w:val="15"/>
          <w:szCs w:val="15"/>
          <w:highlight w:val="yellow"/>
        </w:rPr>
        <w:t xml:space="preserve"> 28</w:t>
      </w:r>
      <w:bookmarkStart w:id="1" w:name="_GoBack"/>
      <w:bookmarkEnd w:id="1"/>
      <w:r w:rsidRPr="00EC039D">
        <w:rPr>
          <w:rFonts w:ascii="Arial" w:hAnsi="Arial" w:cs="Arial"/>
          <w:b/>
          <w:w w:val="0"/>
          <w:sz w:val="15"/>
          <w:szCs w:val="15"/>
          <w:highlight w:val="yellow"/>
        </w:rPr>
        <w:t xml:space="preserve"> classifica I 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AF" w:rsidRDefault="00BF5FAF">
      <w:pPr>
        <w:spacing w:before="0" w:after="0"/>
      </w:pPr>
      <w:r>
        <w:separator/>
      </w:r>
    </w:p>
  </w:endnote>
  <w:endnote w:type="continuationSeparator" w:id="0">
    <w:p w:rsidR="00BF5FAF" w:rsidRDefault="00BF5F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20473">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AF" w:rsidRDefault="00BF5FAF">
      <w:pPr>
        <w:spacing w:before="0" w:after="0"/>
      </w:pPr>
      <w:r>
        <w:separator/>
      </w:r>
    </w:p>
  </w:footnote>
  <w:footnote w:type="continuationSeparator" w:id="0">
    <w:p w:rsidR="00BF5FAF" w:rsidRDefault="00BF5FAF">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43BE"/>
    <w:rsid w:val="002F3487"/>
    <w:rsid w:val="00316FAD"/>
    <w:rsid w:val="00320473"/>
    <w:rsid w:val="00350D7E"/>
    <w:rsid w:val="0036728A"/>
    <w:rsid w:val="00384132"/>
    <w:rsid w:val="003A443E"/>
    <w:rsid w:val="003B3636"/>
    <w:rsid w:val="003E55D0"/>
    <w:rsid w:val="003E60D1"/>
    <w:rsid w:val="003E7810"/>
    <w:rsid w:val="004234D1"/>
    <w:rsid w:val="00436D48"/>
    <w:rsid w:val="00516CEA"/>
    <w:rsid w:val="005309A4"/>
    <w:rsid w:val="00531003"/>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5FAF"/>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3CAA-58C3-4745-99D5-479B96B3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6825</Words>
  <Characters>38908</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8</cp:revision>
  <cp:lastPrinted>2016-07-15T13:50:00Z</cp:lastPrinted>
  <dcterms:created xsi:type="dcterms:W3CDTF">2017-11-26T10:30:00Z</dcterms:created>
  <dcterms:modified xsi:type="dcterms:W3CDTF">2017-12-08T17:59:00Z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