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12" w:rsidRPr="006908BC" w:rsidRDefault="009B1812" w:rsidP="009B1812">
      <w:pPr>
        <w:pStyle w:val="Default"/>
        <w:rPr>
          <w:rFonts w:ascii="Verdana" w:hAnsi="Verdana"/>
          <w:sz w:val="22"/>
          <w:szCs w:val="22"/>
        </w:rPr>
      </w:pPr>
    </w:p>
    <w:p w:rsidR="009B1812" w:rsidRPr="006908BC" w:rsidRDefault="009B1812" w:rsidP="00B96C25">
      <w:pPr>
        <w:pStyle w:val="Default"/>
        <w:jc w:val="both"/>
        <w:rPr>
          <w:rFonts w:ascii="Verdana" w:hAnsi="Verdana"/>
          <w:b/>
          <w:i/>
          <w:sz w:val="22"/>
          <w:szCs w:val="22"/>
        </w:rPr>
      </w:pPr>
      <w:r w:rsidRPr="006908BC">
        <w:rPr>
          <w:rFonts w:ascii="Verdana" w:hAnsi="Verdana"/>
          <w:b/>
          <w:i/>
          <w:sz w:val="22"/>
          <w:szCs w:val="22"/>
        </w:rPr>
        <w:t xml:space="preserve">INPS </w:t>
      </w:r>
    </w:p>
    <w:p w:rsidR="000B1CF1" w:rsidRPr="006908BC" w:rsidRDefault="000B1CF1" w:rsidP="00B96C25">
      <w:pPr>
        <w:pStyle w:val="Default"/>
        <w:jc w:val="both"/>
        <w:rPr>
          <w:rFonts w:ascii="Verdana" w:hAnsi="Verdana"/>
          <w:i/>
          <w:sz w:val="22"/>
          <w:szCs w:val="22"/>
        </w:rPr>
      </w:pPr>
      <w:r w:rsidRPr="006908BC">
        <w:rPr>
          <w:rFonts w:ascii="Verdana" w:hAnsi="Verdana"/>
          <w:i/>
          <w:sz w:val="22"/>
          <w:szCs w:val="22"/>
        </w:rPr>
        <w:t xml:space="preserve">DIREZIONE REGIONALE CALABRIA </w:t>
      </w:r>
    </w:p>
    <w:p w:rsidR="009B1812" w:rsidRDefault="00B96C25" w:rsidP="00B96C25">
      <w:pPr>
        <w:pStyle w:val="Default"/>
        <w:jc w:val="both"/>
        <w:rPr>
          <w:rFonts w:ascii="Verdana" w:hAnsi="Verdana"/>
          <w:i/>
          <w:sz w:val="22"/>
          <w:szCs w:val="22"/>
        </w:rPr>
      </w:pPr>
      <w:r w:rsidRPr="006908BC">
        <w:rPr>
          <w:rFonts w:ascii="Verdana" w:hAnsi="Verdana"/>
          <w:i/>
          <w:sz w:val="22"/>
          <w:szCs w:val="22"/>
        </w:rPr>
        <w:t xml:space="preserve">TEAM </w:t>
      </w:r>
      <w:r w:rsidR="00997389">
        <w:rPr>
          <w:rFonts w:ascii="Verdana" w:hAnsi="Verdana"/>
          <w:i/>
          <w:sz w:val="22"/>
          <w:szCs w:val="22"/>
        </w:rPr>
        <w:t>Gestione servizi, lavori e forniture</w:t>
      </w:r>
    </w:p>
    <w:p w:rsidR="00997389" w:rsidRPr="006908BC" w:rsidRDefault="00997389" w:rsidP="00B96C25">
      <w:pPr>
        <w:pStyle w:val="Default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contrattualistica</w:t>
      </w:r>
      <w:bookmarkStart w:id="0" w:name="_GoBack"/>
      <w:bookmarkEnd w:id="0"/>
    </w:p>
    <w:p w:rsidR="00B96C25" w:rsidRPr="006908BC" w:rsidRDefault="00B96C25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B96C25" w:rsidRPr="006908BC" w:rsidRDefault="00B96C25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B96C25" w:rsidRPr="006908BC" w:rsidRDefault="00B96C25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B96C25" w:rsidRPr="006908BC" w:rsidRDefault="00B96C25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E04211" w:rsidRPr="006908BC" w:rsidRDefault="00B96C25" w:rsidP="002F1B6D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</w:rPr>
      </w:pPr>
      <w:r w:rsidRPr="006908BC">
        <w:rPr>
          <w:rFonts w:ascii="Verdana" w:hAnsi="Verdana"/>
          <w:b/>
        </w:rPr>
        <w:t>OGGETTO</w:t>
      </w:r>
      <w:r w:rsidR="00E92CF1" w:rsidRPr="006908BC">
        <w:rPr>
          <w:rFonts w:ascii="Verdana" w:hAnsi="Verdana"/>
          <w:b/>
        </w:rPr>
        <w:t>:</w:t>
      </w:r>
      <w:r w:rsidR="00E04211" w:rsidRPr="006908BC">
        <w:rPr>
          <w:rFonts w:ascii="Verdana" w:hAnsi="Verdana"/>
        </w:rPr>
        <w:t xml:space="preserve"> </w:t>
      </w:r>
      <w:r w:rsidR="00E92CF1" w:rsidRPr="006908BC">
        <w:rPr>
          <w:rFonts w:ascii="Verdana" w:hAnsi="Verdana" w:cs="Arial"/>
          <w:color w:val="000000"/>
        </w:rPr>
        <w:t xml:space="preserve">Fornitura </w:t>
      </w:r>
      <w:r w:rsidR="006C267E">
        <w:rPr>
          <w:rFonts w:ascii="Verdana" w:hAnsi="Verdana" w:cs="Arial"/>
          <w:color w:val="000000"/>
        </w:rPr>
        <w:t>di 2 (due) sedie a rotelle per i centri medico-legali</w:t>
      </w:r>
      <w:r w:rsidR="00E92CF1" w:rsidRPr="006908BC">
        <w:rPr>
          <w:rFonts w:ascii="Verdana" w:hAnsi="Verdana" w:cs="Arial"/>
          <w:color w:val="000000"/>
        </w:rPr>
        <w:t xml:space="preserve"> INPS della Calabria</w:t>
      </w:r>
      <w:r w:rsidR="00E92CF1" w:rsidRPr="006908BC">
        <w:rPr>
          <w:rFonts w:ascii="Verdana" w:hAnsi="Verdana" w:cs="Calibri"/>
          <w:bCs/>
          <w:color w:val="000000"/>
        </w:rPr>
        <w:t>.</w:t>
      </w:r>
    </w:p>
    <w:p w:rsidR="00E04211" w:rsidRPr="006908BC" w:rsidRDefault="00E04211" w:rsidP="00E04211">
      <w:pPr>
        <w:pStyle w:val="Default"/>
        <w:jc w:val="both"/>
        <w:rPr>
          <w:rFonts w:ascii="Verdana" w:hAnsi="Verdana"/>
          <w:sz w:val="22"/>
          <w:szCs w:val="22"/>
        </w:rPr>
      </w:pPr>
    </w:p>
    <w:p w:rsidR="00E04211" w:rsidRDefault="00E04211" w:rsidP="00E04211">
      <w:pPr>
        <w:pStyle w:val="Default"/>
        <w:jc w:val="both"/>
        <w:rPr>
          <w:rFonts w:ascii="Verdana" w:hAnsi="Verdana"/>
          <w:sz w:val="22"/>
          <w:szCs w:val="22"/>
        </w:rPr>
      </w:pPr>
      <w:r w:rsidRPr="006908BC">
        <w:rPr>
          <w:rFonts w:ascii="Verdana" w:hAnsi="Verdana"/>
          <w:b/>
          <w:sz w:val="22"/>
          <w:szCs w:val="22"/>
        </w:rPr>
        <w:t>CIG</w:t>
      </w:r>
      <w:r w:rsidRPr="006908BC">
        <w:rPr>
          <w:rFonts w:ascii="Verdana" w:hAnsi="Verdana"/>
          <w:sz w:val="22"/>
          <w:szCs w:val="22"/>
        </w:rPr>
        <w:t xml:space="preserve">: </w:t>
      </w:r>
      <w:r w:rsidR="00A54531">
        <w:rPr>
          <w:rFonts w:ascii="Verdana" w:hAnsi="Verdana"/>
          <w:sz w:val="22"/>
          <w:szCs w:val="22"/>
        </w:rPr>
        <w:t>ZD324C53C5</w:t>
      </w:r>
    </w:p>
    <w:p w:rsidR="00A54531" w:rsidRPr="006908BC" w:rsidRDefault="00A54531" w:rsidP="00E04211">
      <w:pPr>
        <w:pStyle w:val="Default"/>
        <w:jc w:val="both"/>
        <w:rPr>
          <w:rFonts w:ascii="Verdana" w:hAnsi="Verdana" w:cs="Calibri"/>
          <w:b/>
          <w:bCs/>
          <w:sz w:val="22"/>
          <w:szCs w:val="22"/>
        </w:rPr>
      </w:pPr>
      <w:r w:rsidRPr="00A54531">
        <w:rPr>
          <w:rFonts w:ascii="Verdana" w:hAnsi="Verdana"/>
          <w:b/>
          <w:sz w:val="22"/>
          <w:szCs w:val="22"/>
        </w:rPr>
        <w:t>CUP</w:t>
      </w:r>
      <w:r>
        <w:rPr>
          <w:rFonts w:ascii="Verdana" w:hAnsi="Verdana"/>
          <w:sz w:val="22"/>
          <w:szCs w:val="22"/>
        </w:rPr>
        <w:t xml:space="preserve"> F69F18000280005</w:t>
      </w:r>
    </w:p>
    <w:p w:rsidR="00B96C25" w:rsidRPr="006908B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  <w:r w:rsidRPr="006908BC">
        <w:rPr>
          <w:rFonts w:ascii="Verdana" w:hAnsi="Verdana"/>
          <w:sz w:val="22"/>
          <w:szCs w:val="22"/>
        </w:rPr>
        <w:t xml:space="preserve"> </w:t>
      </w:r>
    </w:p>
    <w:p w:rsidR="009B1812" w:rsidRPr="006908BC" w:rsidRDefault="009B1812" w:rsidP="00B96C25">
      <w:pPr>
        <w:pStyle w:val="Default"/>
        <w:jc w:val="both"/>
        <w:rPr>
          <w:rFonts w:ascii="Verdana" w:hAnsi="Verdana"/>
          <w:b/>
          <w:sz w:val="22"/>
          <w:szCs w:val="22"/>
        </w:rPr>
      </w:pPr>
      <w:r w:rsidRPr="006908BC">
        <w:rPr>
          <w:rFonts w:ascii="Verdana" w:hAnsi="Verdana"/>
          <w:b/>
          <w:sz w:val="22"/>
          <w:szCs w:val="22"/>
        </w:rPr>
        <w:t xml:space="preserve">INDICAZIONI PER LA PARTECIPAZIONE ALLA GARA </w:t>
      </w:r>
    </w:p>
    <w:p w:rsidR="00B96C25" w:rsidRPr="006908BC" w:rsidRDefault="00B96C25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9B1812" w:rsidRPr="006908B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  <w:r w:rsidRPr="006908BC">
        <w:rPr>
          <w:rFonts w:ascii="Verdana" w:hAnsi="Verdana"/>
          <w:sz w:val="22"/>
          <w:szCs w:val="22"/>
        </w:rPr>
        <w:t>- L’importo dell’appalto, compresi gli oneri per la sicurezza da interferenza ed esclusi g</w:t>
      </w:r>
      <w:r w:rsidR="00B96C25" w:rsidRPr="006908BC">
        <w:rPr>
          <w:rFonts w:ascii="Verdana" w:hAnsi="Verdana"/>
          <w:sz w:val="22"/>
          <w:szCs w:val="22"/>
        </w:rPr>
        <w:t>li oneri fiscali, ammonta ad €</w:t>
      </w:r>
      <w:r w:rsidR="00982F7D">
        <w:rPr>
          <w:rFonts w:ascii="Verdana" w:hAnsi="Verdana"/>
          <w:sz w:val="22"/>
          <w:szCs w:val="22"/>
        </w:rPr>
        <w:t xml:space="preserve"> 819,00</w:t>
      </w:r>
      <w:r w:rsidRPr="006908BC">
        <w:rPr>
          <w:rFonts w:ascii="Verdana" w:hAnsi="Verdana"/>
          <w:sz w:val="22"/>
          <w:szCs w:val="22"/>
        </w:rPr>
        <w:t xml:space="preserve">. </w:t>
      </w:r>
    </w:p>
    <w:p w:rsidR="009B1812" w:rsidRPr="006908B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9B1812" w:rsidRPr="006908B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  <w:r w:rsidRPr="006908BC">
        <w:rPr>
          <w:rFonts w:ascii="Verdana" w:hAnsi="Verdana"/>
          <w:sz w:val="22"/>
          <w:szCs w:val="22"/>
        </w:rPr>
        <w:t xml:space="preserve">- Gli oneri per l’attuazione dei piani della sicurezza da interferenza non soggetti a ribasso ammontano ad euro </w:t>
      </w:r>
      <w:r w:rsidR="006C267E">
        <w:rPr>
          <w:rFonts w:ascii="Verdana" w:hAnsi="Verdana"/>
          <w:sz w:val="22"/>
          <w:szCs w:val="22"/>
        </w:rPr>
        <w:t>0,00</w:t>
      </w:r>
      <w:r w:rsidRPr="006908BC">
        <w:rPr>
          <w:rFonts w:ascii="Verdana" w:hAnsi="Verdana"/>
          <w:sz w:val="22"/>
          <w:szCs w:val="22"/>
        </w:rPr>
        <w:t xml:space="preserve">. </w:t>
      </w:r>
    </w:p>
    <w:p w:rsidR="009B1812" w:rsidRPr="006908B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9B1812" w:rsidRPr="006908B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  <w:r w:rsidRPr="006908BC">
        <w:rPr>
          <w:rFonts w:ascii="Verdana" w:hAnsi="Verdana"/>
          <w:sz w:val="22"/>
          <w:szCs w:val="22"/>
        </w:rPr>
        <w:t xml:space="preserve">- L’importo dell’appalto, esclusi gli oneri per la sicurezza da interferenza, </w:t>
      </w:r>
      <w:r w:rsidR="00EF3342">
        <w:rPr>
          <w:rFonts w:ascii="Verdana" w:hAnsi="Verdana"/>
          <w:sz w:val="22"/>
          <w:szCs w:val="22"/>
        </w:rPr>
        <w:t>non soggetti</w:t>
      </w:r>
      <w:r w:rsidRPr="006908BC">
        <w:rPr>
          <w:rFonts w:ascii="Verdana" w:hAnsi="Verdana"/>
          <w:sz w:val="22"/>
          <w:szCs w:val="22"/>
        </w:rPr>
        <w:t xml:space="preserve"> a ribasso</w:t>
      </w:r>
      <w:r w:rsidR="0028519C">
        <w:rPr>
          <w:rFonts w:ascii="Verdana" w:hAnsi="Verdana"/>
          <w:sz w:val="22"/>
          <w:szCs w:val="22"/>
        </w:rPr>
        <w:t>,</w:t>
      </w:r>
      <w:r w:rsidRPr="006908BC">
        <w:rPr>
          <w:rFonts w:ascii="Verdana" w:hAnsi="Verdana"/>
          <w:sz w:val="22"/>
          <w:szCs w:val="22"/>
        </w:rPr>
        <w:t xml:space="preserve"> ammonta ad euro </w:t>
      </w:r>
      <w:r w:rsidR="00982F7D">
        <w:rPr>
          <w:rFonts w:ascii="Verdana" w:hAnsi="Verdana"/>
          <w:sz w:val="22"/>
          <w:szCs w:val="22"/>
        </w:rPr>
        <w:t>819,00</w:t>
      </w:r>
      <w:r w:rsidRPr="006908BC">
        <w:rPr>
          <w:rFonts w:ascii="Verdana" w:hAnsi="Verdana"/>
          <w:sz w:val="22"/>
          <w:szCs w:val="22"/>
        </w:rPr>
        <w:t xml:space="preserve">. </w:t>
      </w:r>
    </w:p>
    <w:p w:rsidR="009B1812" w:rsidRPr="006908B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B74E6D" w:rsidRPr="00A174D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  <w:r w:rsidRPr="00A174DC">
        <w:rPr>
          <w:rFonts w:ascii="Verdana" w:hAnsi="Verdana"/>
          <w:sz w:val="22"/>
          <w:szCs w:val="22"/>
        </w:rPr>
        <w:t xml:space="preserve">- Il termine di </w:t>
      </w:r>
      <w:r w:rsidR="00E92CF1" w:rsidRPr="00A174DC">
        <w:rPr>
          <w:rFonts w:ascii="Verdana" w:hAnsi="Verdana"/>
          <w:sz w:val="22"/>
          <w:szCs w:val="22"/>
        </w:rPr>
        <w:t xml:space="preserve">consegna </w:t>
      </w:r>
      <w:r w:rsidR="006C267E">
        <w:rPr>
          <w:rFonts w:ascii="Verdana" w:hAnsi="Verdana"/>
          <w:sz w:val="22"/>
          <w:szCs w:val="22"/>
        </w:rPr>
        <w:t xml:space="preserve">delle sedie a rotelle </w:t>
      </w:r>
      <w:r w:rsidRPr="00A174DC">
        <w:rPr>
          <w:rFonts w:ascii="Verdana" w:hAnsi="Verdana"/>
          <w:sz w:val="22"/>
          <w:szCs w:val="22"/>
        </w:rPr>
        <w:t xml:space="preserve">è di </w:t>
      </w:r>
      <w:r w:rsidR="00E92CF1" w:rsidRPr="00A174DC">
        <w:rPr>
          <w:rFonts w:ascii="Verdana" w:hAnsi="Verdana"/>
          <w:b/>
          <w:sz w:val="22"/>
          <w:szCs w:val="22"/>
        </w:rPr>
        <w:t>15</w:t>
      </w:r>
      <w:r w:rsidRPr="00A174DC">
        <w:rPr>
          <w:rFonts w:ascii="Verdana" w:hAnsi="Verdana"/>
          <w:sz w:val="22"/>
          <w:szCs w:val="22"/>
        </w:rPr>
        <w:t xml:space="preserve"> </w:t>
      </w:r>
      <w:r w:rsidR="00A174DC" w:rsidRPr="00A174DC">
        <w:rPr>
          <w:rFonts w:ascii="Verdana" w:hAnsi="Verdana"/>
          <w:sz w:val="22"/>
          <w:szCs w:val="22"/>
        </w:rPr>
        <w:t xml:space="preserve">(quindici) </w:t>
      </w:r>
      <w:r w:rsidRPr="00A174DC">
        <w:rPr>
          <w:rFonts w:ascii="Verdana" w:hAnsi="Verdana"/>
          <w:sz w:val="22"/>
          <w:szCs w:val="22"/>
        </w:rPr>
        <w:t xml:space="preserve">giorni naturali e consecutivi decorrenti </w:t>
      </w:r>
      <w:r w:rsidR="00E92CF1" w:rsidRPr="00A174DC">
        <w:rPr>
          <w:rFonts w:ascii="Verdana" w:hAnsi="Verdana"/>
          <w:sz w:val="22"/>
          <w:szCs w:val="22"/>
        </w:rPr>
        <w:t>dalla data della stipula</w:t>
      </w:r>
      <w:r w:rsidRPr="00A174DC">
        <w:rPr>
          <w:rFonts w:ascii="Verdana" w:hAnsi="Verdana"/>
          <w:sz w:val="22"/>
          <w:szCs w:val="22"/>
        </w:rPr>
        <w:t xml:space="preserve">. </w:t>
      </w:r>
    </w:p>
    <w:p w:rsidR="009B1812" w:rsidRPr="006908B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9B1812" w:rsidRPr="006908BC" w:rsidRDefault="009B1812" w:rsidP="00B96C25">
      <w:pPr>
        <w:pStyle w:val="Default"/>
        <w:jc w:val="both"/>
        <w:rPr>
          <w:rFonts w:ascii="Verdana" w:hAnsi="Verdana"/>
          <w:sz w:val="22"/>
          <w:szCs w:val="22"/>
        </w:rPr>
      </w:pPr>
      <w:r w:rsidRPr="006908BC">
        <w:rPr>
          <w:rFonts w:ascii="Verdana" w:hAnsi="Verdana"/>
          <w:sz w:val="22"/>
          <w:szCs w:val="22"/>
        </w:rPr>
        <w:t xml:space="preserve">- Non è prevista la facoltà di subappalto ai sensi dell’art. 105 comma 4 lettera a) del D.lgs. n. 50/2016. </w:t>
      </w:r>
    </w:p>
    <w:p w:rsidR="00B96C25" w:rsidRPr="006908BC" w:rsidRDefault="00B96C25" w:rsidP="00B96C2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B96C25" w:rsidRPr="006908BC" w:rsidRDefault="00B96C25" w:rsidP="00B96C25">
      <w:pPr>
        <w:pStyle w:val="Default"/>
        <w:jc w:val="both"/>
        <w:rPr>
          <w:rFonts w:ascii="Verdana" w:hAnsi="Verdana"/>
          <w:b/>
          <w:sz w:val="22"/>
          <w:szCs w:val="22"/>
        </w:rPr>
      </w:pPr>
      <w:r w:rsidRPr="006908BC">
        <w:rPr>
          <w:rFonts w:ascii="Verdana" w:hAnsi="Verdana"/>
          <w:b/>
          <w:sz w:val="22"/>
          <w:szCs w:val="22"/>
        </w:rPr>
        <w:t xml:space="preserve">DESCRIZIONE </w:t>
      </w:r>
      <w:r w:rsidR="00E92CF1" w:rsidRPr="006908BC">
        <w:rPr>
          <w:rFonts w:ascii="Verdana" w:hAnsi="Verdana"/>
          <w:b/>
          <w:sz w:val="22"/>
          <w:szCs w:val="22"/>
        </w:rPr>
        <w:t>FORNITUR</w:t>
      </w:r>
      <w:r w:rsidR="002F1B6D" w:rsidRPr="006908BC">
        <w:rPr>
          <w:rFonts w:ascii="Verdana" w:hAnsi="Verdana"/>
          <w:b/>
          <w:sz w:val="22"/>
          <w:szCs w:val="22"/>
        </w:rPr>
        <w:t>E</w:t>
      </w:r>
      <w:r w:rsidR="002F1618" w:rsidRPr="006908BC">
        <w:rPr>
          <w:rFonts w:ascii="Verdana" w:hAnsi="Verdana"/>
          <w:b/>
          <w:sz w:val="22"/>
          <w:szCs w:val="22"/>
        </w:rPr>
        <w:t xml:space="preserve"> DA EFFETTUARE</w:t>
      </w:r>
    </w:p>
    <w:p w:rsidR="00AD74BC" w:rsidRPr="006908BC" w:rsidRDefault="00AD74BC" w:rsidP="00B96C25">
      <w:pPr>
        <w:pStyle w:val="Default"/>
        <w:jc w:val="both"/>
        <w:rPr>
          <w:rFonts w:ascii="Verdana" w:hAnsi="Verdana"/>
          <w:b/>
          <w:sz w:val="22"/>
          <w:szCs w:val="22"/>
        </w:rPr>
      </w:pPr>
    </w:p>
    <w:p w:rsidR="002F1B6D" w:rsidRPr="006908BC" w:rsidRDefault="0006401C" w:rsidP="00FF197F">
      <w:pPr>
        <w:pStyle w:val="Default"/>
        <w:numPr>
          <w:ilvl w:val="0"/>
          <w:numId w:val="3"/>
        </w:numPr>
        <w:ind w:left="426" w:hanging="426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SEDIA A ROTELLE</w:t>
      </w:r>
      <w:r w:rsidR="008F5A93">
        <w:rPr>
          <w:rFonts w:ascii="Verdana" w:hAnsi="Verdana"/>
          <w:b/>
          <w:sz w:val="22"/>
          <w:szCs w:val="22"/>
          <w:u w:val="single"/>
        </w:rPr>
        <w:t xml:space="preserve"> AD  AUTOSPINTA NON PEGHEVOLE</w:t>
      </w:r>
    </w:p>
    <w:p w:rsidR="00973F45" w:rsidRPr="006908BC" w:rsidRDefault="00973F45" w:rsidP="00E92CF1">
      <w:pPr>
        <w:pStyle w:val="Default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364C0" w:rsidRDefault="00147138" w:rsidP="00E92CF1">
      <w:pPr>
        <w:pStyle w:val="Default"/>
        <w:jc w:val="both"/>
        <w:rPr>
          <w:rFonts w:ascii="Verdana" w:hAnsi="Verdana"/>
          <w:sz w:val="22"/>
          <w:szCs w:val="22"/>
        </w:rPr>
      </w:pPr>
      <w:r w:rsidRPr="00982F7D">
        <w:rPr>
          <w:rFonts w:ascii="Verdana" w:hAnsi="Verdana"/>
          <w:sz w:val="22"/>
          <w:szCs w:val="22"/>
          <w:u w:val="single"/>
        </w:rPr>
        <w:t xml:space="preserve">Descrizione </w:t>
      </w:r>
      <w:r w:rsidR="008F5A93">
        <w:rPr>
          <w:rFonts w:ascii="Verdana" w:hAnsi="Verdana"/>
          <w:sz w:val="22"/>
          <w:szCs w:val="22"/>
          <w:u w:val="single"/>
        </w:rPr>
        <w:t xml:space="preserve">minime del </w:t>
      </w:r>
      <w:r w:rsidRPr="00982F7D">
        <w:rPr>
          <w:rFonts w:ascii="Verdana" w:hAnsi="Verdana"/>
          <w:sz w:val="22"/>
          <w:szCs w:val="22"/>
          <w:u w:val="single"/>
        </w:rPr>
        <w:t>prodotto</w:t>
      </w:r>
      <w:r w:rsidRPr="00982F7D">
        <w:rPr>
          <w:rFonts w:ascii="Verdana" w:hAnsi="Verdana"/>
          <w:sz w:val="22"/>
          <w:szCs w:val="22"/>
        </w:rPr>
        <w:t xml:space="preserve">: </w:t>
      </w:r>
    </w:p>
    <w:p w:rsidR="008F5A93" w:rsidRPr="00982F7D" w:rsidRDefault="008F5A93" w:rsidP="00E92CF1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8364C0" w:rsidTr="008F5A93">
        <w:trPr>
          <w:trHeight w:val="158"/>
          <w:jc w:val="center"/>
        </w:trPr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Struttura</w:t>
            </w:r>
          </w:p>
        </w:tc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Acciaio cromato</w:t>
            </w:r>
          </w:p>
        </w:tc>
      </w:tr>
      <w:tr w:rsidR="008364C0" w:rsidTr="008F5A93">
        <w:trPr>
          <w:jc w:val="center"/>
        </w:trPr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Smontabile</w:t>
            </w:r>
          </w:p>
        </w:tc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Si</w:t>
            </w:r>
          </w:p>
        </w:tc>
      </w:tr>
      <w:tr w:rsidR="008364C0" w:rsidTr="008F5A93">
        <w:trPr>
          <w:jc w:val="center"/>
        </w:trPr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Braccioli</w:t>
            </w:r>
          </w:p>
        </w:tc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Estraibili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recrinabile</w:t>
            </w:r>
            <w:proofErr w:type="spellEnd"/>
          </w:p>
        </w:tc>
      </w:tr>
      <w:tr w:rsidR="008364C0" w:rsidTr="008F5A93">
        <w:trPr>
          <w:jc w:val="center"/>
        </w:trPr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Pieghevole</w:t>
            </w:r>
          </w:p>
        </w:tc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No</w:t>
            </w:r>
          </w:p>
        </w:tc>
      </w:tr>
      <w:tr w:rsidR="008364C0" w:rsidTr="008F5A93">
        <w:trPr>
          <w:jc w:val="center"/>
        </w:trPr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Altezza seduta</w:t>
            </w:r>
          </w:p>
        </w:tc>
        <w:tc>
          <w:tcPr>
            <w:tcW w:w="4889" w:type="dxa"/>
          </w:tcPr>
          <w:p w:rsidR="008364C0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54 cm</w:t>
            </w:r>
          </w:p>
        </w:tc>
      </w:tr>
      <w:tr w:rsidR="008F5A93" w:rsidTr="008F5A93">
        <w:trPr>
          <w:jc w:val="center"/>
        </w:trPr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Dotazione ruote</w:t>
            </w:r>
          </w:p>
        </w:tc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4 ruote piroettanti diametro minimo 110 di cui quello posteriori dotate di  freno</w:t>
            </w:r>
          </w:p>
        </w:tc>
      </w:tr>
      <w:tr w:rsidR="008F5A93" w:rsidTr="008F5A93">
        <w:trPr>
          <w:jc w:val="center"/>
        </w:trPr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Dimensione sedute</w:t>
            </w:r>
          </w:p>
        </w:tc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cm 46 x 46</w:t>
            </w:r>
          </w:p>
        </w:tc>
      </w:tr>
      <w:tr w:rsidR="008F5A93" w:rsidTr="008F5A93">
        <w:trPr>
          <w:jc w:val="center"/>
        </w:trPr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Schienale</w:t>
            </w:r>
          </w:p>
        </w:tc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Estraibile</w:t>
            </w:r>
          </w:p>
        </w:tc>
      </w:tr>
      <w:tr w:rsidR="008F5A93" w:rsidTr="008F5A93">
        <w:trPr>
          <w:jc w:val="center"/>
        </w:trPr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Caratteristiche dello schienale e del sedile</w:t>
            </w:r>
          </w:p>
        </w:tc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 xml:space="preserve">Imbottiti </w:t>
            </w:r>
            <w:proofErr w:type="spellStart"/>
            <w:r w:rsidRPr="008F5A93">
              <w:rPr>
                <w:rFonts w:ascii="Verdana" w:hAnsi="Verdana"/>
                <w:b/>
                <w:sz w:val="22"/>
                <w:szCs w:val="22"/>
              </w:rPr>
              <w:t>idropellenti</w:t>
            </w:r>
            <w:proofErr w:type="spellEnd"/>
          </w:p>
        </w:tc>
      </w:tr>
      <w:tr w:rsidR="008F5A93" w:rsidTr="008F5A93">
        <w:trPr>
          <w:jc w:val="center"/>
        </w:trPr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Portata</w:t>
            </w:r>
          </w:p>
        </w:tc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Minimo kg 130</w:t>
            </w:r>
          </w:p>
        </w:tc>
      </w:tr>
      <w:tr w:rsidR="008F5A93" w:rsidTr="008F5A93">
        <w:trPr>
          <w:jc w:val="center"/>
        </w:trPr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lastRenderedPageBreak/>
              <w:t>Materiale schienale e sedile</w:t>
            </w:r>
          </w:p>
        </w:tc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8F5A93">
              <w:rPr>
                <w:rFonts w:ascii="Verdana" w:hAnsi="Verdana"/>
                <w:b/>
                <w:sz w:val="22"/>
                <w:szCs w:val="22"/>
              </w:rPr>
              <w:t>Sky</w:t>
            </w:r>
            <w:proofErr w:type="spellEnd"/>
            <w:r w:rsidRPr="008F5A93">
              <w:rPr>
                <w:rFonts w:ascii="Verdana" w:hAnsi="Verdana"/>
                <w:b/>
                <w:sz w:val="22"/>
                <w:szCs w:val="22"/>
              </w:rPr>
              <w:t xml:space="preserve"> lavabile</w:t>
            </w:r>
          </w:p>
        </w:tc>
      </w:tr>
      <w:tr w:rsidR="008F5A93" w:rsidTr="008F5A93">
        <w:trPr>
          <w:jc w:val="center"/>
        </w:trPr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Pedane</w:t>
            </w:r>
          </w:p>
        </w:tc>
        <w:tc>
          <w:tcPr>
            <w:tcW w:w="4889" w:type="dxa"/>
          </w:tcPr>
          <w:p w:rsidR="008F5A93" w:rsidRPr="008F5A93" w:rsidRDefault="008F5A93" w:rsidP="008F5A93">
            <w:pPr>
              <w:pStyle w:val="Defaul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F5A93">
              <w:rPr>
                <w:rFonts w:ascii="Verdana" w:hAnsi="Verdana"/>
                <w:b/>
                <w:sz w:val="22"/>
                <w:szCs w:val="22"/>
              </w:rPr>
              <w:t>Regolabili, ribaltabili ed estraibili</w:t>
            </w:r>
          </w:p>
        </w:tc>
      </w:tr>
    </w:tbl>
    <w:p w:rsidR="007401F2" w:rsidRPr="00982F7D" w:rsidRDefault="007401F2" w:rsidP="00E92CF1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F1B6D" w:rsidRPr="00137778" w:rsidRDefault="00A174DC" w:rsidP="00E92CF1">
      <w:pPr>
        <w:pStyle w:val="Default"/>
        <w:jc w:val="both"/>
        <w:rPr>
          <w:rFonts w:ascii="Verdana" w:hAnsi="Verdana"/>
          <w:b/>
          <w:sz w:val="22"/>
          <w:szCs w:val="22"/>
          <w:u w:val="single"/>
        </w:rPr>
      </w:pPr>
      <w:r w:rsidRPr="00982F7D">
        <w:rPr>
          <w:rFonts w:ascii="Verdana" w:hAnsi="Verdana"/>
          <w:sz w:val="22"/>
          <w:szCs w:val="22"/>
        </w:rPr>
        <w:t>Totale pezzi:</w:t>
      </w:r>
      <w:r w:rsidR="0006401C" w:rsidRPr="00982F7D">
        <w:rPr>
          <w:rFonts w:ascii="Verdana" w:hAnsi="Verdana"/>
          <w:sz w:val="22"/>
          <w:szCs w:val="22"/>
        </w:rPr>
        <w:t>2</w:t>
      </w:r>
      <w:r w:rsidR="007401F2" w:rsidRPr="00982F7D">
        <w:rPr>
          <w:rFonts w:ascii="Verdana" w:hAnsi="Verdana"/>
          <w:sz w:val="22"/>
          <w:szCs w:val="22"/>
        </w:rPr>
        <w:t>;</w:t>
      </w:r>
    </w:p>
    <w:p w:rsidR="007401F2" w:rsidRPr="00137778" w:rsidRDefault="007401F2" w:rsidP="00E92CF1">
      <w:pPr>
        <w:pStyle w:val="Default"/>
        <w:jc w:val="both"/>
        <w:rPr>
          <w:rFonts w:ascii="Verdana" w:hAnsi="Verdana"/>
          <w:sz w:val="22"/>
          <w:szCs w:val="22"/>
          <w:u w:val="single"/>
        </w:rPr>
      </w:pPr>
    </w:p>
    <w:p w:rsidR="00E92CF1" w:rsidRPr="00137778" w:rsidRDefault="00E92CF1" w:rsidP="00E92CF1">
      <w:pPr>
        <w:pStyle w:val="Default"/>
        <w:jc w:val="both"/>
        <w:rPr>
          <w:rFonts w:ascii="Verdana" w:hAnsi="Verdana"/>
          <w:sz w:val="22"/>
          <w:szCs w:val="22"/>
          <w:u w:val="single"/>
        </w:rPr>
      </w:pPr>
      <w:r w:rsidRPr="00137778">
        <w:rPr>
          <w:rFonts w:ascii="Verdana" w:hAnsi="Verdana"/>
          <w:sz w:val="22"/>
          <w:szCs w:val="22"/>
          <w:u w:val="single"/>
        </w:rPr>
        <w:t>Sedi di consegna</w:t>
      </w:r>
    </w:p>
    <w:p w:rsidR="00E92CF1" w:rsidRPr="00137778" w:rsidRDefault="00E92CF1" w:rsidP="00E92CF1">
      <w:pPr>
        <w:pStyle w:val="Default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92CF1" w:rsidRPr="00137778" w:rsidRDefault="005131A2" w:rsidP="00DA0E4D">
      <w:pPr>
        <w:pStyle w:val="Default"/>
        <w:numPr>
          <w:ilvl w:val="0"/>
          <w:numId w:val="15"/>
        </w:numPr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Centro medico legale:</w:t>
      </w:r>
      <w:r w:rsidR="00982F7D">
        <w:rPr>
          <w:rFonts w:ascii="Verdana" w:hAnsi="Verdana"/>
          <w:sz w:val="22"/>
          <w:szCs w:val="22"/>
        </w:rPr>
        <w:t xml:space="preserve">  </w:t>
      </w:r>
      <w:r w:rsidR="00982F7D" w:rsidRPr="00982F7D">
        <w:rPr>
          <w:rFonts w:ascii="Verdana" w:hAnsi="Verdana" w:cstheme="minorHAnsi"/>
          <w:color w:val="auto"/>
          <w:sz w:val="20"/>
          <w:szCs w:val="20"/>
        </w:rPr>
        <w:t>Direzione Regionale INPS Calabria</w:t>
      </w:r>
      <w:r>
        <w:rPr>
          <w:rFonts w:ascii="Verdana" w:hAnsi="Verdana"/>
          <w:sz w:val="22"/>
          <w:szCs w:val="22"/>
        </w:rPr>
        <w:t xml:space="preserve"> </w:t>
      </w:r>
      <w:r w:rsidR="00E92CF1" w:rsidRPr="00137778">
        <w:rPr>
          <w:rFonts w:ascii="Verdana" w:hAnsi="Verdana"/>
          <w:sz w:val="22"/>
          <w:szCs w:val="22"/>
        </w:rPr>
        <w:t>;</w:t>
      </w:r>
    </w:p>
    <w:p w:rsidR="000B1CF1" w:rsidRPr="00137778" w:rsidRDefault="005131A2" w:rsidP="00DA0E4D">
      <w:pPr>
        <w:pStyle w:val="Default"/>
        <w:numPr>
          <w:ilvl w:val="0"/>
          <w:numId w:val="15"/>
        </w:numPr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Centro medico legale: </w:t>
      </w:r>
      <w:r w:rsidR="00982F7D">
        <w:rPr>
          <w:rFonts w:ascii="Verdana" w:hAnsi="Verdana"/>
          <w:sz w:val="22"/>
          <w:szCs w:val="22"/>
        </w:rPr>
        <w:t xml:space="preserve"> </w:t>
      </w:r>
      <w:r w:rsidR="00982F7D" w:rsidRPr="00982F7D">
        <w:rPr>
          <w:rFonts w:ascii="Verdana" w:hAnsi="Verdana" w:cstheme="minorHAnsi"/>
          <w:color w:val="auto"/>
          <w:sz w:val="20"/>
          <w:szCs w:val="20"/>
        </w:rPr>
        <w:t>D.P. INPS di Vibo Valentia</w:t>
      </w:r>
      <w:r>
        <w:rPr>
          <w:rFonts w:ascii="Verdana" w:hAnsi="Verdana"/>
          <w:sz w:val="22"/>
          <w:szCs w:val="22"/>
        </w:rPr>
        <w:t xml:space="preserve"> </w:t>
      </w:r>
      <w:r w:rsidR="00E92CF1" w:rsidRPr="00137778">
        <w:rPr>
          <w:rFonts w:ascii="Verdana" w:hAnsi="Verdana"/>
          <w:sz w:val="22"/>
          <w:szCs w:val="22"/>
        </w:rPr>
        <w:t>.</w:t>
      </w:r>
    </w:p>
    <w:p w:rsidR="00AD74BC" w:rsidRPr="006908BC" w:rsidRDefault="00AD74BC" w:rsidP="00AD74BC">
      <w:pPr>
        <w:pStyle w:val="Default"/>
        <w:spacing w:line="360" w:lineRule="auto"/>
        <w:ind w:left="284"/>
        <w:jc w:val="both"/>
        <w:rPr>
          <w:rFonts w:ascii="Verdana" w:hAnsi="Verdana"/>
          <w:sz w:val="22"/>
          <w:szCs w:val="22"/>
          <w:highlight w:val="yellow"/>
        </w:rPr>
      </w:pPr>
    </w:p>
    <w:p w:rsidR="00182F1F" w:rsidRDefault="006908BC" w:rsidP="006908BC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982F7D">
        <w:rPr>
          <w:rFonts w:ascii="Verdana" w:hAnsi="Verdana"/>
          <w:color w:val="auto"/>
          <w:sz w:val="22"/>
          <w:szCs w:val="22"/>
        </w:rPr>
        <w:t>Schema riepilogativo di tutti i referenti da poter contattare per le varie forniture suindicate:</w:t>
      </w:r>
    </w:p>
    <w:p w:rsidR="00982F7D" w:rsidRDefault="00982F7D" w:rsidP="006908BC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982F7D" w:rsidRPr="00982F7D" w:rsidRDefault="00982F7D" w:rsidP="006908BC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6908BC" w:rsidRPr="00982F7D" w:rsidRDefault="006908BC" w:rsidP="00182F1F">
      <w:pPr>
        <w:pStyle w:val="Default"/>
        <w:ind w:left="720"/>
        <w:jc w:val="both"/>
        <w:rPr>
          <w:rFonts w:ascii="Verdana" w:hAnsi="Verdana"/>
          <w:color w:val="auto"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114"/>
        <w:gridCol w:w="2410"/>
        <w:gridCol w:w="1776"/>
        <w:gridCol w:w="2618"/>
      </w:tblGrid>
      <w:tr w:rsidR="00982F7D" w:rsidRPr="00982F7D" w:rsidTr="00E508BA">
        <w:tc>
          <w:tcPr>
            <w:tcW w:w="3114" w:type="dxa"/>
          </w:tcPr>
          <w:p w:rsidR="00182F1F" w:rsidRPr="00982F7D" w:rsidRDefault="00182F1F" w:rsidP="00F9001D">
            <w:pPr>
              <w:pStyle w:val="Default"/>
              <w:jc w:val="both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>SEDI DESTINATARIE</w:t>
            </w:r>
          </w:p>
        </w:tc>
        <w:tc>
          <w:tcPr>
            <w:tcW w:w="2410" w:type="dxa"/>
          </w:tcPr>
          <w:p w:rsidR="00182F1F" w:rsidRPr="00982F7D" w:rsidRDefault="00182F1F" w:rsidP="00F9001D">
            <w:pPr>
              <w:pStyle w:val="Default"/>
              <w:jc w:val="both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>INDIRIZZO</w:t>
            </w:r>
          </w:p>
        </w:tc>
        <w:tc>
          <w:tcPr>
            <w:tcW w:w="1776" w:type="dxa"/>
          </w:tcPr>
          <w:p w:rsidR="00182F1F" w:rsidRPr="00982F7D" w:rsidRDefault="00182F1F" w:rsidP="00F9001D">
            <w:pPr>
              <w:pStyle w:val="Default"/>
              <w:jc w:val="both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618" w:type="dxa"/>
          </w:tcPr>
          <w:p w:rsidR="00182F1F" w:rsidRPr="00982F7D" w:rsidRDefault="00182F1F" w:rsidP="00F9001D">
            <w:pPr>
              <w:pStyle w:val="Default"/>
              <w:jc w:val="both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>REFERENTI</w:t>
            </w:r>
          </w:p>
        </w:tc>
      </w:tr>
      <w:tr w:rsidR="00982F7D" w:rsidRPr="00982F7D" w:rsidTr="00BA2947">
        <w:trPr>
          <w:trHeight w:val="825"/>
        </w:trPr>
        <w:tc>
          <w:tcPr>
            <w:tcW w:w="3114" w:type="dxa"/>
          </w:tcPr>
          <w:p w:rsidR="00182F1F" w:rsidRPr="00982F7D" w:rsidRDefault="00182F1F" w:rsidP="006908BC">
            <w:pPr>
              <w:pStyle w:val="Default"/>
              <w:numPr>
                <w:ilvl w:val="0"/>
                <w:numId w:val="13"/>
              </w:numPr>
              <w:ind w:left="313" w:hanging="284"/>
              <w:jc w:val="both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>Direzione Regionale INPS Calabria</w:t>
            </w:r>
          </w:p>
        </w:tc>
        <w:tc>
          <w:tcPr>
            <w:tcW w:w="2410" w:type="dxa"/>
          </w:tcPr>
          <w:p w:rsidR="00182F1F" w:rsidRPr="00982F7D" w:rsidRDefault="00182F1F" w:rsidP="00F9001D">
            <w:pPr>
              <w:pStyle w:val="Default"/>
              <w:jc w:val="both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>Via T. Campanella, 11 - Catanzaro</w:t>
            </w:r>
          </w:p>
        </w:tc>
        <w:tc>
          <w:tcPr>
            <w:tcW w:w="1776" w:type="dxa"/>
          </w:tcPr>
          <w:p w:rsidR="00182F1F" w:rsidRPr="00982F7D" w:rsidRDefault="00E508BA" w:rsidP="00F9001D">
            <w:pPr>
              <w:pStyle w:val="Default"/>
              <w:jc w:val="both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>0961/701736</w:t>
            </w:r>
          </w:p>
        </w:tc>
        <w:tc>
          <w:tcPr>
            <w:tcW w:w="2618" w:type="dxa"/>
          </w:tcPr>
          <w:p w:rsidR="00182F1F" w:rsidRPr="00982F7D" w:rsidRDefault="00E508BA" w:rsidP="00E508BA">
            <w:pPr>
              <w:pStyle w:val="Defaul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>Rosa Rita Calabretta</w:t>
            </w:r>
          </w:p>
        </w:tc>
      </w:tr>
      <w:tr w:rsidR="00982F7D" w:rsidRPr="00982F7D" w:rsidTr="00BA2947">
        <w:trPr>
          <w:trHeight w:val="551"/>
        </w:trPr>
        <w:tc>
          <w:tcPr>
            <w:tcW w:w="3114" w:type="dxa"/>
          </w:tcPr>
          <w:p w:rsidR="00182F1F" w:rsidRPr="00982F7D" w:rsidRDefault="00182F1F" w:rsidP="006908BC">
            <w:pPr>
              <w:pStyle w:val="Default"/>
              <w:numPr>
                <w:ilvl w:val="0"/>
                <w:numId w:val="13"/>
              </w:numPr>
              <w:ind w:left="313" w:hanging="284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>D.P. INPS di Vibo Valentia</w:t>
            </w:r>
          </w:p>
        </w:tc>
        <w:tc>
          <w:tcPr>
            <w:tcW w:w="2410" w:type="dxa"/>
          </w:tcPr>
          <w:p w:rsidR="00182F1F" w:rsidRPr="00982F7D" w:rsidRDefault="00182F1F" w:rsidP="002F1618">
            <w:pPr>
              <w:pStyle w:val="Default"/>
              <w:jc w:val="both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via E.P. </w:t>
            </w:r>
            <w:proofErr w:type="spellStart"/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>Murmura</w:t>
            </w:r>
            <w:proofErr w:type="spellEnd"/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>snc</w:t>
            </w:r>
            <w:proofErr w:type="spellEnd"/>
          </w:p>
        </w:tc>
        <w:tc>
          <w:tcPr>
            <w:tcW w:w="1776" w:type="dxa"/>
          </w:tcPr>
          <w:p w:rsidR="00182F1F" w:rsidRPr="00982F7D" w:rsidRDefault="00E508BA" w:rsidP="002F1618">
            <w:pPr>
              <w:pStyle w:val="Default"/>
              <w:jc w:val="both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>0963/598388</w:t>
            </w:r>
          </w:p>
        </w:tc>
        <w:tc>
          <w:tcPr>
            <w:tcW w:w="2618" w:type="dxa"/>
          </w:tcPr>
          <w:p w:rsidR="00182F1F" w:rsidRPr="00982F7D" w:rsidRDefault="00E508BA" w:rsidP="002F1618">
            <w:pPr>
              <w:pStyle w:val="Default"/>
              <w:jc w:val="both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Filippina </w:t>
            </w:r>
            <w:proofErr w:type="spellStart"/>
            <w:r w:rsidRPr="00982F7D">
              <w:rPr>
                <w:rFonts w:ascii="Verdana" w:hAnsi="Verdana" w:cstheme="minorHAnsi"/>
                <w:color w:val="auto"/>
                <w:sz w:val="20"/>
                <w:szCs w:val="20"/>
              </w:rPr>
              <w:t>Mastruantoni</w:t>
            </w:r>
            <w:proofErr w:type="spellEnd"/>
          </w:p>
        </w:tc>
      </w:tr>
    </w:tbl>
    <w:p w:rsidR="00182F1F" w:rsidRPr="00982F7D" w:rsidRDefault="00182F1F" w:rsidP="002F1618">
      <w:pPr>
        <w:pStyle w:val="Default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182F1F" w:rsidRPr="006908BC" w:rsidRDefault="00182F1F" w:rsidP="002F1618">
      <w:pPr>
        <w:pStyle w:val="Default"/>
        <w:jc w:val="both"/>
        <w:rPr>
          <w:rFonts w:ascii="Verdana" w:hAnsi="Verdana"/>
          <w:b/>
          <w:sz w:val="22"/>
          <w:szCs w:val="22"/>
        </w:rPr>
      </w:pPr>
    </w:p>
    <w:p w:rsidR="00182F1F" w:rsidRPr="006908BC" w:rsidRDefault="00182F1F" w:rsidP="002F1618">
      <w:pPr>
        <w:pStyle w:val="Default"/>
        <w:jc w:val="both"/>
        <w:rPr>
          <w:rFonts w:ascii="Verdana" w:hAnsi="Verdana"/>
          <w:b/>
          <w:sz w:val="22"/>
          <w:szCs w:val="22"/>
        </w:rPr>
      </w:pPr>
    </w:p>
    <w:p w:rsidR="00CC4FA4" w:rsidRPr="006908BC" w:rsidRDefault="00CC4FA4" w:rsidP="002F1618">
      <w:pPr>
        <w:pStyle w:val="Default"/>
        <w:jc w:val="both"/>
        <w:rPr>
          <w:rFonts w:ascii="Verdana" w:hAnsi="Verdana"/>
          <w:b/>
          <w:sz w:val="22"/>
          <w:szCs w:val="22"/>
        </w:rPr>
      </w:pPr>
      <w:r w:rsidRPr="006908BC">
        <w:rPr>
          <w:rFonts w:ascii="Verdana" w:hAnsi="Verdana"/>
          <w:b/>
          <w:sz w:val="22"/>
          <w:szCs w:val="22"/>
        </w:rPr>
        <w:t>INOLTRE</w:t>
      </w:r>
    </w:p>
    <w:p w:rsidR="00CC4FA4" w:rsidRPr="006908BC" w:rsidRDefault="000B1CF1" w:rsidP="000B1CF1">
      <w:pPr>
        <w:pStyle w:val="Default"/>
        <w:jc w:val="both"/>
        <w:rPr>
          <w:rFonts w:ascii="Verdana" w:hAnsi="Verdana"/>
          <w:sz w:val="22"/>
          <w:szCs w:val="22"/>
        </w:rPr>
      </w:pPr>
      <w:r w:rsidRPr="006908BC">
        <w:rPr>
          <w:rFonts w:ascii="Verdana" w:hAnsi="Verdana"/>
          <w:sz w:val="22"/>
          <w:szCs w:val="22"/>
        </w:rPr>
        <w:t>L’offerta da presentare sarà ritenuta valida se considera ne</w:t>
      </w:r>
      <w:r w:rsidR="00E92CF1" w:rsidRPr="006908BC">
        <w:rPr>
          <w:rFonts w:ascii="Verdana" w:hAnsi="Verdana"/>
          <w:sz w:val="22"/>
          <w:szCs w:val="22"/>
        </w:rPr>
        <w:t>lla sua globalità e completezza</w:t>
      </w:r>
      <w:r w:rsidR="005A2ADA" w:rsidRPr="006908BC">
        <w:rPr>
          <w:rFonts w:ascii="Verdana" w:hAnsi="Verdana"/>
          <w:sz w:val="22"/>
          <w:szCs w:val="22"/>
        </w:rPr>
        <w:t xml:space="preserve"> l’intera fornitura oggetto della procedura di gara</w:t>
      </w:r>
      <w:r w:rsidR="00E92CF1" w:rsidRPr="006908BC">
        <w:rPr>
          <w:rFonts w:ascii="Verdana" w:hAnsi="Verdana"/>
          <w:sz w:val="22"/>
          <w:szCs w:val="22"/>
        </w:rPr>
        <w:t>.</w:t>
      </w:r>
    </w:p>
    <w:p w:rsidR="005D6A73" w:rsidRPr="006908BC" w:rsidRDefault="005D6A73" w:rsidP="005D6A73">
      <w:pPr>
        <w:pStyle w:val="Default"/>
        <w:rPr>
          <w:rFonts w:ascii="Verdana" w:hAnsi="Verdana"/>
          <w:sz w:val="22"/>
          <w:szCs w:val="22"/>
        </w:rPr>
      </w:pPr>
    </w:p>
    <w:p w:rsidR="00670469" w:rsidRPr="006908BC" w:rsidRDefault="00670469" w:rsidP="006704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6908BC">
        <w:rPr>
          <w:rFonts w:ascii="Verdana" w:hAnsi="Verdana" w:cs="Arial"/>
          <w:color w:val="000000"/>
        </w:rPr>
        <w:t>Tutti i prodotti oggetto della fornitura dovranno essere nuovi di fabbrica e</w:t>
      </w:r>
      <w:r w:rsidR="007D1F3E" w:rsidRPr="006908BC">
        <w:rPr>
          <w:rFonts w:ascii="Verdana" w:hAnsi="Verdana" w:cs="Arial"/>
          <w:color w:val="000000"/>
        </w:rPr>
        <w:t xml:space="preserve"> </w:t>
      </w:r>
      <w:r w:rsidRPr="006908BC">
        <w:rPr>
          <w:rFonts w:ascii="Verdana" w:hAnsi="Verdana" w:cs="Arial"/>
          <w:color w:val="000000"/>
        </w:rPr>
        <w:t>conformi alle norme di legge o regolamentari che ne disciplinano la produzione,</w:t>
      </w:r>
      <w:r w:rsidR="00302A1D">
        <w:rPr>
          <w:rFonts w:ascii="Verdana" w:hAnsi="Verdana" w:cs="Arial"/>
          <w:color w:val="000000"/>
        </w:rPr>
        <w:t xml:space="preserve"> </w:t>
      </w:r>
      <w:r w:rsidRPr="006908BC">
        <w:rPr>
          <w:rFonts w:ascii="Verdana" w:hAnsi="Verdana" w:cs="Arial"/>
          <w:color w:val="000000"/>
        </w:rPr>
        <w:t>la vendita ed il trasporto.</w:t>
      </w:r>
    </w:p>
    <w:p w:rsidR="00670469" w:rsidRPr="006908BC" w:rsidRDefault="00670469" w:rsidP="006704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6908BC">
        <w:rPr>
          <w:rFonts w:ascii="Verdana" w:hAnsi="Verdana" w:cs="Arial"/>
          <w:color w:val="000000"/>
        </w:rPr>
        <w:t>Al proposito, il concorrente, al fine di consentire alla Stazion</w:t>
      </w:r>
      <w:r w:rsidR="00B50B51" w:rsidRPr="006908BC">
        <w:rPr>
          <w:rFonts w:ascii="Verdana" w:hAnsi="Verdana" w:cs="Arial"/>
          <w:color w:val="000000"/>
        </w:rPr>
        <w:t>e Appaltante la</w:t>
      </w:r>
      <w:r w:rsidR="00692D3F" w:rsidRPr="006908BC">
        <w:rPr>
          <w:rFonts w:ascii="Verdana" w:hAnsi="Verdana" w:cs="Arial"/>
          <w:color w:val="000000"/>
        </w:rPr>
        <w:t xml:space="preserve"> </w:t>
      </w:r>
      <w:r w:rsidRPr="006908BC">
        <w:rPr>
          <w:rFonts w:ascii="Verdana" w:hAnsi="Verdana" w:cs="Arial"/>
          <w:color w:val="000000"/>
        </w:rPr>
        <w:t>valutazione delle caratteristiche tecniche del prodot</w:t>
      </w:r>
      <w:r w:rsidR="00B50B51" w:rsidRPr="006908BC">
        <w:rPr>
          <w:rFonts w:ascii="Verdana" w:hAnsi="Verdana" w:cs="Arial"/>
          <w:color w:val="000000"/>
        </w:rPr>
        <w:t xml:space="preserve">to offerto dovrà inserire nella </w:t>
      </w:r>
      <w:r w:rsidRPr="006908BC">
        <w:rPr>
          <w:rFonts w:ascii="Verdana" w:hAnsi="Verdana" w:cs="Arial"/>
          <w:color w:val="000000"/>
        </w:rPr>
        <w:t xml:space="preserve">Busta o sezione Amministrativa le </w:t>
      </w:r>
      <w:r w:rsidRPr="006908BC">
        <w:rPr>
          <w:rFonts w:ascii="Verdana" w:hAnsi="Verdana" w:cs="Arial"/>
          <w:b/>
          <w:color w:val="000000"/>
        </w:rPr>
        <w:t>schede tecniche del prodotto</w:t>
      </w:r>
      <w:r w:rsidR="00B50B51" w:rsidRPr="006908BC">
        <w:rPr>
          <w:rFonts w:ascii="Verdana" w:hAnsi="Verdana" w:cs="Arial"/>
          <w:color w:val="000000"/>
        </w:rPr>
        <w:t xml:space="preserve"> in oggetto, </w:t>
      </w:r>
      <w:r w:rsidRPr="006908BC">
        <w:rPr>
          <w:rFonts w:ascii="Verdana" w:hAnsi="Verdana" w:cs="Arial"/>
          <w:color w:val="000000"/>
        </w:rPr>
        <w:t xml:space="preserve">corredate di </w:t>
      </w:r>
      <w:r w:rsidRPr="006908BC">
        <w:rPr>
          <w:rFonts w:ascii="Verdana" w:hAnsi="Verdana" w:cs="Arial"/>
          <w:b/>
          <w:color w:val="000000"/>
        </w:rPr>
        <w:t>fotografie</w:t>
      </w:r>
      <w:r w:rsidRPr="006908BC">
        <w:rPr>
          <w:rFonts w:ascii="Verdana" w:hAnsi="Verdana" w:cs="Arial"/>
          <w:color w:val="000000"/>
        </w:rPr>
        <w:t xml:space="preserve"> e se dispo</w:t>
      </w:r>
      <w:r w:rsidR="00BE70C2">
        <w:rPr>
          <w:rFonts w:ascii="Verdana" w:hAnsi="Verdana" w:cs="Arial"/>
          <w:color w:val="000000"/>
        </w:rPr>
        <w:t xml:space="preserve">nibile da </w:t>
      </w:r>
      <w:proofErr w:type="spellStart"/>
      <w:r w:rsidR="00BE70C2">
        <w:rPr>
          <w:rFonts w:ascii="Verdana" w:hAnsi="Verdana" w:cs="Arial"/>
          <w:color w:val="000000"/>
        </w:rPr>
        <w:t>depliants</w:t>
      </w:r>
      <w:proofErr w:type="spellEnd"/>
      <w:r w:rsidR="00BE70C2">
        <w:rPr>
          <w:rFonts w:ascii="Verdana" w:hAnsi="Verdana" w:cs="Arial"/>
          <w:color w:val="000000"/>
        </w:rPr>
        <w:t xml:space="preserve"> </w:t>
      </w:r>
      <w:r w:rsidRPr="006908BC">
        <w:rPr>
          <w:rFonts w:ascii="Verdana" w:hAnsi="Verdana" w:cs="Arial"/>
          <w:color w:val="000000"/>
        </w:rPr>
        <w:t>.</w:t>
      </w:r>
    </w:p>
    <w:p w:rsidR="00670469" w:rsidRPr="006908BC" w:rsidRDefault="00670469" w:rsidP="00B50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6908BC">
        <w:rPr>
          <w:rFonts w:ascii="Verdana" w:hAnsi="Verdana" w:cs="Arial"/>
          <w:color w:val="000000"/>
        </w:rPr>
        <w:t>Le schede tecniche andranno co</w:t>
      </w:r>
      <w:r w:rsidR="00B50B51" w:rsidRPr="006908BC">
        <w:rPr>
          <w:rFonts w:ascii="Verdana" w:hAnsi="Verdana" w:cs="Arial"/>
          <w:color w:val="000000"/>
        </w:rPr>
        <w:t xml:space="preserve">rredate da una dichiarazione di </w:t>
      </w:r>
      <w:r w:rsidRPr="006908BC">
        <w:rPr>
          <w:rFonts w:ascii="Verdana" w:hAnsi="Verdana" w:cs="Arial"/>
          <w:color w:val="000000"/>
        </w:rPr>
        <w:t>responsabilità del rappresentante legale con</w:t>
      </w:r>
      <w:r w:rsidR="00B50B51" w:rsidRPr="006908BC">
        <w:rPr>
          <w:rFonts w:ascii="Verdana" w:hAnsi="Verdana" w:cs="Arial"/>
          <w:color w:val="000000"/>
        </w:rPr>
        <w:t xml:space="preserve"> cui ci si impegna a fornire il </w:t>
      </w:r>
      <w:r w:rsidRPr="006908BC">
        <w:rPr>
          <w:rFonts w:ascii="Verdana" w:hAnsi="Verdana" w:cs="Arial"/>
        </w:rPr>
        <w:t>prodotto ivi descritto</w:t>
      </w:r>
      <w:r w:rsidR="00BE70C2">
        <w:rPr>
          <w:rFonts w:ascii="Verdana" w:hAnsi="Verdana" w:cs="Arial"/>
        </w:rPr>
        <w:t xml:space="preserve"> e contenente altresì il codice identificativo di registrazione BD/RDM (</w:t>
      </w:r>
      <w:r w:rsidR="00BE70C2">
        <w:rPr>
          <w:rFonts w:ascii="Trebuchet MS" w:hAnsi="Trebuchet MS"/>
          <w:color w:val="2A2A25"/>
        </w:rPr>
        <w:t>L'elenco dei dispositivi medici notificati nel sistema "Banca dati dei dispositivi medici" ai sensi del Decreto del Ministro della salute 21 dicembre 2009)</w:t>
      </w:r>
      <w:r w:rsidRPr="006908BC">
        <w:rPr>
          <w:rFonts w:ascii="Verdana" w:hAnsi="Verdana"/>
        </w:rPr>
        <w:t>,</w:t>
      </w:r>
      <w:r w:rsidRPr="006908BC">
        <w:rPr>
          <w:rFonts w:ascii="Verdana" w:hAnsi="Verdana" w:cs="Arial"/>
        </w:rPr>
        <w:t xml:space="preserve"> dichiarazione che andrà sottoscritta digitalmente.</w:t>
      </w:r>
    </w:p>
    <w:p w:rsidR="005D6A73" w:rsidRPr="006908BC" w:rsidRDefault="005D6A73" w:rsidP="0067046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670469" w:rsidRPr="006908BC" w:rsidRDefault="00670469" w:rsidP="006704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908BC">
        <w:rPr>
          <w:rFonts w:ascii="Verdana" w:hAnsi="Verdana" w:cs="Arial"/>
        </w:rPr>
        <w:t>Verranno accettate unicamente offerte aventi ad oggetto gli articoli richiesti.</w:t>
      </w:r>
    </w:p>
    <w:p w:rsidR="00302A1D" w:rsidRDefault="00302A1D" w:rsidP="006704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670469" w:rsidRDefault="00670469" w:rsidP="00302A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908BC">
        <w:rPr>
          <w:rFonts w:ascii="Verdana" w:hAnsi="Verdana" w:cs="Arial"/>
        </w:rPr>
        <w:t>La fornitura relativa sarà aggiudicata a favore della ditta che avrà offerto il prezzo complessivo più basso</w:t>
      </w:r>
      <w:r w:rsidR="00302A1D">
        <w:rPr>
          <w:rFonts w:ascii="Verdana" w:hAnsi="Verdana" w:cs="Arial"/>
        </w:rPr>
        <w:t>.</w:t>
      </w:r>
    </w:p>
    <w:p w:rsidR="006C267E" w:rsidRDefault="006C267E" w:rsidP="00CC4FA4">
      <w:pPr>
        <w:shd w:val="clear" w:color="auto" w:fill="F8F8F8"/>
        <w:spacing w:after="150" w:line="240" w:lineRule="auto"/>
        <w:jc w:val="both"/>
        <w:outlineLvl w:val="1"/>
        <w:rPr>
          <w:rFonts w:ascii="Verdana" w:hAnsi="Verdana" w:cs="Arial"/>
        </w:rPr>
      </w:pPr>
    </w:p>
    <w:p w:rsidR="00CC4FA4" w:rsidRPr="006908BC" w:rsidRDefault="00CC4FA4" w:rsidP="00CC4FA4">
      <w:pPr>
        <w:shd w:val="clear" w:color="auto" w:fill="F8F8F8"/>
        <w:spacing w:after="150" w:line="240" w:lineRule="auto"/>
        <w:jc w:val="both"/>
        <w:outlineLvl w:val="1"/>
        <w:rPr>
          <w:rFonts w:ascii="Verdana" w:eastAsia="Times New Roman" w:hAnsi="Verdana" w:cs="Helvetica"/>
          <w:b/>
          <w:bCs/>
          <w:color w:val="313131"/>
          <w:spacing w:val="-6"/>
          <w:u w:val="single"/>
          <w:lang w:eastAsia="it-IT"/>
        </w:rPr>
      </w:pPr>
      <w:r w:rsidRPr="006908BC">
        <w:rPr>
          <w:rFonts w:ascii="Verdana" w:eastAsia="Times New Roman" w:hAnsi="Verdana" w:cs="Helvetica"/>
          <w:b/>
          <w:bCs/>
          <w:color w:val="313131"/>
          <w:spacing w:val="-6"/>
          <w:u w:val="single"/>
          <w:lang w:eastAsia="it-IT"/>
        </w:rPr>
        <w:t>Offerte anormalmente basse</w:t>
      </w:r>
    </w:p>
    <w:p w:rsidR="00B74E6D" w:rsidRDefault="00CC4FA4" w:rsidP="00DC6CA1">
      <w:pPr>
        <w:shd w:val="clear" w:color="auto" w:fill="F8F8F8"/>
        <w:spacing w:after="0" w:line="240" w:lineRule="auto"/>
        <w:jc w:val="both"/>
        <w:rPr>
          <w:rFonts w:ascii="Verdana" w:eastAsia="Times New Roman" w:hAnsi="Verdana" w:cs="Helvetica"/>
          <w:color w:val="171717"/>
          <w:lang w:eastAsia="it-IT"/>
        </w:rPr>
      </w:pPr>
      <w:r w:rsidRPr="006908BC">
        <w:rPr>
          <w:rFonts w:ascii="Verdana" w:eastAsia="Times New Roman" w:hAnsi="Verdana" w:cs="Helvetica"/>
          <w:color w:val="171717"/>
          <w:lang w:eastAsia="it-IT"/>
        </w:rPr>
        <w:t>L’istituto applica quanto</w:t>
      </w:r>
      <w:r w:rsidR="00B541B7" w:rsidRPr="006908BC">
        <w:rPr>
          <w:rFonts w:ascii="Verdana" w:eastAsia="Times New Roman" w:hAnsi="Verdana" w:cs="Helvetica"/>
          <w:color w:val="171717"/>
          <w:lang w:eastAsia="it-IT"/>
        </w:rPr>
        <w:t xml:space="preserve"> previsto dall’art. 97 del </w:t>
      </w:r>
      <w:proofErr w:type="spellStart"/>
      <w:r w:rsidR="00B541B7" w:rsidRPr="006908BC">
        <w:rPr>
          <w:rFonts w:ascii="Verdana" w:eastAsia="Times New Roman" w:hAnsi="Verdana" w:cs="Helvetica"/>
          <w:color w:val="171717"/>
          <w:lang w:eastAsia="it-IT"/>
        </w:rPr>
        <w:t>D.Lgs</w:t>
      </w:r>
      <w:r w:rsidRPr="006908BC">
        <w:rPr>
          <w:rFonts w:ascii="Verdana" w:eastAsia="Times New Roman" w:hAnsi="Verdana" w:cs="Helvetica"/>
          <w:color w:val="171717"/>
          <w:lang w:eastAsia="it-IT"/>
        </w:rPr>
        <w:t>.</w:t>
      </w:r>
      <w:proofErr w:type="spellEnd"/>
      <w:r w:rsidRPr="006908BC">
        <w:rPr>
          <w:rFonts w:ascii="Verdana" w:eastAsia="Times New Roman" w:hAnsi="Verdana" w:cs="Helvetica"/>
          <w:color w:val="171717"/>
          <w:lang w:eastAsia="it-IT"/>
        </w:rPr>
        <w:t xml:space="preserve"> 50/2016, prevedendo ai sensi d</w:t>
      </w:r>
      <w:r w:rsidR="00982504" w:rsidRPr="006908BC">
        <w:rPr>
          <w:rFonts w:ascii="Verdana" w:eastAsia="Times New Roman" w:hAnsi="Verdana" w:cs="Helvetica"/>
          <w:color w:val="171717"/>
          <w:lang w:eastAsia="it-IT"/>
        </w:rPr>
        <w:t>el comma 8 del citato articolo,</w:t>
      </w:r>
      <w:r w:rsidRPr="006908BC">
        <w:rPr>
          <w:rFonts w:ascii="Verdana" w:eastAsia="Times New Roman" w:hAnsi="Verdana" w:cs="Helvetica"/>
          <w:color w:val="171717"/>
          <w:lang w:eastAsia="it-IT"/>
        </w:rPr>
        <w:t xml:space="preserve"> l'esclusione automatica dalla gara delle offerte che presentano una percentuale di ribasso pari o superiore alla soglia di anomalia </w:t>
      </w:r>
      <w:r w:rsidRPr="006908BC">
        <w:rPr>
          <w:rFonts w:ascii="Verdana" w:eastAsia="Times New Roman" w:hAnsi="Verdana" w:cs="Helvetica"/>
          <w:color w:val="171717"/>
          <w:lang w:eastAsia="it-IT"/>
        </w:rPr>
        <w:lastRenderedPageBreak/>
        <w:t xml:space="preserve">individuata ai sensi del comma 2. In tal caso non si applicano i commi 4, 5 e 6. Comunque la facoltà di esclusione automatica non sarà esercitabile quando il numero delle offerte ammesse è inferiore a dieci. </w:t>
      </w:r>
      <w:r w:rsidR="00B74E6D">
        <w:rPr>
          <w:rFonts w:ascii="Verdana" w:eastAsia="Times New Roman" w:hAnsi="Verdana" w:cs="Helvetica"/>
          <w:color w:val="171717"/>
          <w:lang w:eastAsia="it-IT"/>
        </w:rPr>
        <w:t xml:space="preserve">  </w:t>
      </w:r>
    </w:p>
    <w:p w:rsidR="006168CD" w:rsidRPr="006908BC" w:rsidRDefault="00CC4FA4" w:rsidP="00DC6CA1">
      <w:pPr>
        <w:shd w:val="clear" w:color="auto" w:fill="F8F8F8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eastAsia="Times New Roman" w:hAnsi="Verdana" w:cs="Helvetica"/>
          <w:color w:val="171717"/>
          <w:lang w:eastAsia="it-IT"/>
        </w:rPr>
        <w:br/>
      </w:r>
      <w:r w:rsidR="00B74E6D">
        <w:rPr>
          <w:rFonts w:ascii="Verdana" w:eastAsia="Times New Roman" w:hAnsi="Verdana" w:cs="Helvetica"/>
          <w:color w:val="171717"/>
          <w:lang w:eastAsia="it-IT"/>
        </w:rPr>
        <w:t xml:space="preserve"> </w:t>
      </w:r>
      <w:r w:rsidRPr="006908BC">
        <w:rPr>
          <w:rFonts w:ascii="Verdana" w:eastAsia="Times New Roman" w:hAnsi="Verdana" w:cs="Helvetica"/>
          <w:color w:val="171717"/>
          <w:lang w:eastAsia="it-IT"/>
        </w:rPr>
        <w:br/>
      </w:r>
      <w:r w:rsidR="006168CD" w:rsidRPr="006908BC">
        <w:rPr>
          <w:rFonts w:ascii="Verdana" w:hAnsi="Verdana" w:cs="Times New Roman"/>
          <w:b/>
          <w:color w:val="000000"/>
          <w:u w:val="single"/>
        </w:rPr>
        <w:t>CAUZIONE PROVVISORIA</w:t>
      </w:r>
      <w:r w:rsidR="006168CD" w:rsidRPr="006908BC">
        <w:rPr>
          <w:rFonts w:ascii="Verdana" w:hAnsi="Verdana" w:cs="Times New Roman"/>
          <w:color w:val="000000"/>
        </w:rPr>
        <w:t xml:space="preserve"> </w:t>
      </w:r>
    </w:p>
    <w:p w:rsidR="00DC6CA1" w:rsidRPr="006908BC" w:rsidRDefault="00DC6CA1" w:rsidP="00DC6CA1">
      <w:pPr>
        <w:shd w:val="clear" w:color="auto" w:fill="F8F8F8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6168CD" w:rsidRPr="00982F7D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82F7D">
        <w:rPr>
          <w:rFonts w:ascii="Verdana" w:hAnsi="Verdana" w:cs="Times New Roman"/>
        </w:rPr>
        <w:t xml:space="preserve">L'offerta da presentare per la partecipazione alla gara per l'affidamento dell'appalto deve essere corredata da una cauzione pari al 2% dell'importo a base di appalto. </w:t>
      </w:r>
    </w:p>
    <w:p w:rsidR="006168CD" w:rsidRDefault="006168CD" w:rsidP="006168CD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982F7D">
        <w:rPr>
          <w:rFonts w:ascii="Verdana" w:hAnsi="Verdana" w:cs="Times New Roman"/>
          <w:color w:val="auto"/>
          <w:sz w:val="22"/>
          <w:szCs w:val="22"/>
        </w:rPr>
        <w:t xml:space="preserve">La cauzione deve essere costituita nei modi indicati </w:t>
      </w:r>
      <w:r w:rsidR="005A2ADA" w:rsidRPr="00982F7D">
        <w:rPr>
          <w:rFonts w:ascii="Verdana" w:hAnsi="Verdana" w:cs="Times New Roman"/>
          <w:color w:val="auto"/>
          <w:sz w:val="22"/>
          <w:szCs w:val="22"/>
        </w:rPr>
        <w:t>dalla vigente normativa</w:t>
      </w:r>
      <w:r w:rsidRPr="00982F7D">
        <w:rPr>
          <w:rFonts w:ascii="Verdana" w:hAnsi="Verdana" w:cs="Times New Roman"/>
          <w:color w:val="auto"/>
          <w:sz w:val="22"/>
          <w:szCs w:val="22"/>
        </w:rPr>
        <w:t xml:space="preserve"> e deve contenere l'impegno del </w:t>
      </w:r>
      <w:proofErr w:type="spellStart"/>
      <w:r w:rsidRPr="00982F7D">
        <w:rPr>
          <w:rFonts w:ascii="Verdana" w:hAnsi="Verdana" w:cs="Times New Roman"/>
          <w:color w:val="auto"/>
          <w:sz w:val="22"/>
          <w:szCs w:val="22"/>
        </w:rPr>
        <w:t>fidejussore</w:t>
      </w:r>
      <w:proofErr w:type="spellEnd"/>
      <w:r w:rsidRPr="00982F7D">
        <w:rPr>
          <w:rFonts w:ascii="Verdana" w:hAnsi="Verdana" w:cs="Times New Roman"/>
          <w:color w:val="auto"/>
          <w:sz w:val="22"/>
          <w:szCs w:val="22"/>
        </w:rPr>
        <w:t xml:space="preserve"> a rilasciare la garanzia relativa alla cauzione definitiva, qualora l'offerente risultasse aggiudicatario. La fidejussione deve prevedere espressamente la rinuncia al beneficio della preventiva escussione del debitore principale. </w:t>
      </w:r>
    </w:p>
    <w:p w:rsidR="00982F7D" w:rsidRPr="00982F7D" w:rsidRDefault="00982F7D" w:rsidP="00982F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4"/>
        </w:rPr>
      </w:pPr>
      <w:r w:rsidRPr="00982F7D">
        <w:rPr>
          <w:rFonts w:ascii="Verdana" w:hAnsi="Verdana" w:cs="Times New Roman"/>
          <w:color w:val="000000"/>
          <w:szCs w:val="24"/>
        </w:rPr>
        <w:t>La fidejussione provvisoria può essere versata anche in contanti mediante bonifico sul C/C presso il Banco di Napoli, Filiale 06949 di Catanzaro, intestato all’INPS - Direzione regionale della Calabria: IBAN IT23 W 010 1004 4090 9843 6161 156.</w:t>
      </w:r>
    </w:p>
    <w:p w:rsidR="00982F7D" w:rsidRPr="00982F7D" w:rsidRDefault="00982F7D" w:rsidP="006168CD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6168CD" w:rsidRPr="00982F7D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82F7D">
        <w:rPr>
          <w:rFonts w:ascii="Verdana" w:hAnsi="Verdana" w:cs="Times New Roman"/>
        </w:rPr>
        <w:t xml:space="preserve">Ai non aggiudicatari la cauzione viene restituita entro trenta giorni dall'aggiudicazione definitiva.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82F7D">
        <w:rPr>
          <w:rFonts w:ascii="Verdana" w:hAnsi="Verdana" w:cs="Times New Roman"/>
          <w:color w:val="000000"/>
        </w:rPr>
        <w:t>La fidejussione bancaria o assicurativa relativa alla cauzione provvisoria dovrà avere validità di almeno 180 giorni dalla data di presentazione dell'offerta.</w:t>
      </w:r>
      <w:r w:rsidRPr="006908BC">
        <w:rPr>
          <w:rFonts w:ascii="Verdana" w:hAnsi="Verdana" w:cs="Times New Roman"/>
          <w:color w:val="000000"/>
        </w:rPr>
        <w:t xml:space="preserve"> </w:t>
      </w:r>
    </w:p>
    <w:p w:rsidR="00137778" w:rsidRDefault="00137778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u w:val="single"/>
        </w:rPr>
      </w:pPr>
    </w:p>
    <w:p w:rsidR="00137778" w:rsidRDefault="00137778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u w:val="single"/>
        </w:rPr>
      </w:pPr>
    </w:p>
    <w:p w:rsidR="00DC6CA1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u w:val="single"/>
        </w:rPr>
      </w:pPr>
      <w:r w:rsidRPr="006908BC">
        <w:rPr>
          <w:rFonts w:ascii="Verdana" w:hAnsi="Verdana" w:cs="Times New Roman"/>
          <w:b/>
          <w:color w:val="000000"/>
          <w:u w:val="single"/>
        </w:rPr>
        <w:t>CAUZIONE DEFINITIVA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 xml:space="preserve">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 xml:space="preserve">Entro trenta giorni dalla data di apertura delle offerte la Stazione appaltante provvede a comunicare alla Ditta risultata migliore offerente l'aggiudicazione provvisoria dell'appalto in oggetto.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 xml:space="preserve">L'importo della cauzione definitiva è fissato in misura pari al 10% dell'importo contrattuale delle opere aggiudicate. In caso di ribasso d'asta superiore al 10%, la garanzia </w:t>
      </w:r>
      <w:proofErr w:type="spellStart"/>
      <w:r w:rsidRPr="006908BC">
        <w:rPr>
          <w:rFonts w:ascii="Verdana" w:hAnsi="Verdana" w:cs="Times New Roman"/>
          <w:color w:val="000000"/>
        </w:rPr>
        <w:t>fidejussoria</w:t>
      </w:r>
      <w:proofErr w:type="spellEnd"/>
      <w:r w:rsidRPr="006908BC">
        <w:rPr>
          <w:rFonts w:ascii="Verdana" w:hAnsi="Verdana" w:cs="Times New Roman"/>
          <w:color w:val="000000"/>
        </w:rPr>
        <w:t xml:space="preserve"> è aumentata di tanti punti percentuali quanti sono quelli eccedenti il 10%; ove il ribasso sia superiore al 20%, l’aumento è di due punti percentuali per ogni punto di ribasso superiore al 20%.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 xml:space="preserve">L'impresa è tenuta a costituire detta cauzione entro 20 giorni dalla data della lettera di comunicazione dell'aggiudicazione definitiva.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 xml:space="preserve">La mancata costituzione della garanzia determina la revoca dell'affidamento e l'acquisizione della cauzione provvisoria da parte dell'Istituto.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b/>
          <w:bCs/>
          <w:color w:val="000000"/>
        </w:rPr>
        <w:t>La garanzia copre gli oneri per il mancato o inesatto adempimento e cessa di avere effetto solo dopo la data di emissione del certificato di collaudo provvisorio</w:t>
      </w:r>
      <w:r w:rsidRPr="006908BC">
        <w:rPr>
          <w:rFonts w:ascii="Verdana" w:hAnsi="Verdana" w:cs="Times New Roman"/>
          <w:color w:val="000000"/>
        </w:rPr>
        <w:t xml:space="preserve">.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>La cauzione viene prestata a garanzia dell'adempimento di tutte le obbligazioni del contratto e del risarcimento dei danni derivanti dall'eventuale inadempimento delle obbligazioni stesse, nonché a garanzia del rimborso delle somme pagate in più all'appalt</w:t>
      </w:r>
      <w:r w:rsidR="00982504" w:rsidRPr="006908BC">
        <w:rPr>
          <w:rFonts w:ascii="Verdana" w:hAnsi="Verdana" w:cs="Times New Roman"/>
          <w:color w:val="000000"/>
        </w:rPr>
        <w:t>atore rispetto alla liquida</w:t>
      </w:r>
      <w:r w:rsidRPr="006908BC">
        <w:rPr>
          <w:rFonts w:ascii="Verdana" w:hAnsi="Verdana" w:cs="Times New Roman"/>
          <w:color w:val="000000"/>
        </w:rPr>
        <w:t xml:space="preserve">zione finale, salva comunque la risarcibilità del maggiore danno. La cauzione definitiva cessa di avere effetto comunque decorsi 12 mesi dalla data di ultimazione dei lavori risultante dal relativo certificato.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 xml:space="preserve">Il deposito può essere costituito: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 xml:space="preserve">- mediante fidejussione bancaria o assicurativa concessa quest'ultima esclusivamente da Istituto Assicurativo autorizzato ai sensi delle norme in vigore, oppure: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 xml:space="preserve">- in valuta legale mediante versamento presso una delle banche espressamente indicate dalla Stazione appaltante; la ricevuta di tale versamento sarà considerata probatoria dell'avvenuta costituzione del deposito;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b/>
          <w:bCs/>
          <w:color w:val="000000"/>
        </w:rPr>
        <w:lastRenderedPageBreak/>
        <w:t>Lo svincolo della cauzione è disposto solo dopo l'approvazione degli atti di collaudo</w:t>
      </w:r>
      <w:r w:rsidRPr="006908BC">
        <w:rPr>
          <w:rFonts w:ascii="Verdana" w:hAnsi="Verdana" w:cs="Times New Roman"/>
          <w:color w:val="000000"/>
        </w:rPr>
        <w:t xml:space="preserve">. Resta inteso che nessun interesse è dovuto sul deposito cauzionale costituito. </w:t>
      </w:r>
    </w:p>
    <w:p w:rsidR="006168CD" w:rsidRPr="006908BC" w:rsidRDefault="006168CD" w:rsidP="006168CD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6908BC">
        <w:rPr>
          <w:rFonts w:ascii="Verdana" w:hAnsi="Verdana" w:cs="Times New Roman"/>
          <w:b/>
          <w:bCs/>
          <w:sz w:val="22"/>
          <w:szCs w:val="22"/>
        </w:rPr>
        <w:t xml:space="preserve">La polizza </w:t>
      </w:r>
      <w:proofErr w:type="spellStart"/>
      <w:r w:rsidRPr="006908BC">
        <w:rPr>
          <w:rFonts w:ascii="Verdana" w:hAnsi="Verdana" w:cs="Times New Roman"/>
          <w:b/>
          <w:bCs/>
          <w:sz w:val="22"/>
          <w:szCs w:val="22"/>
        </w:rPr>
        <w:t>fidejussoria</w:t>
      </w:r>
      <w:proofErr w:type="spellEnd"/>
      <w:r w:rsidRPr="006908BC">
        <w:rPr>
          <w:rFonts w:ascii="Verdana" w:hAnsi="Verdana" w:cs="Times New Roman"/>
          <w:b/>
          <w:bCs/>
          <w:sz w:val="22"/>
          <w:szCs w:val="22"/>
        </w:rPr>
        <w:t xml:space="preserve"> costituita per la cauzione definitiva dovrà essere firmata dal legale rappresentante della Società </w:t>
      </w:r>
      <w:proofErr w:type="spellStart"/>
      <w:r w:rsidRPr="006908BC">
        <w:rPr>
          <w:rFonts w:ascii="Verdana" w:hAnsi="Verdana" w:cs="Times New Roman"/>
          <w:b/>
          <w:bCs/>
          <w:sz w:val="22"/>
          <w:szCs w:val="22"/>
        </w:rPr>
        <w:t>fidejubente</w:t>
      </w:r>
      <w:proofErr w:type="spellEnd"/>
      <w:r w:rsidRPr="006908BC">
        <w:rPr>
          <w:rFonts w:ascii="Verdana" w:hAnsi="Verdana" w:cs="Times New Roman"/>
          <w:b/>
          <w:bCs/>
          <w:sz w:val="22"/>
          <w:szCs w:val="22"/>
        </w:rPr>
        <w:t xml:space="preserve"> e recare nel riquadro delle condizioni speciali o in appendice aggiunta le seguenti clausole: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color w:val="000000"/>
        </w:rPr>
        <w:t>"</w:t>
      </w:r>
      <w:r w:rsidRPr="006908BC">
        <w:rPr>
          <w:rFonts w:ascii="Verdana" w:hAnsi="Verdana" w:cs="Times New Roman"/>
          <w:b/>
          <w:bCs/>
          <w:color w:val="000000"/>
        </w:rPr>
        <w:t xml:space="preserve">La liberazione della fidejussione potrà avvenire soltanto a seguito di apposita comunicazione dell'Istituto garantito e comunque dopo che, a giudizio insindacabile dell'Istituto medesimo, la Ditta contraente avrà adempiuto a tutti gli obblighi ed oneri contrattuali, e dopo l'approvazione del collaudo e dell'accertamento del regolare versamento dei contributi assicurativi. </w:t>
      </w:r>
    </w:p>
    <w:p w:rsidR="006168CD" w:rsidRPr="006908BC" w:rsidRDefault="006168CD" w:rsidP="006168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6908BC">
        <w:rPr>
          <w:rFonts w:ascii="Verdana" w:hAnsi="Verdana" w:cs="Times New Roman"/>
          <w:b/>
          <w:bCs/>
          <w:color w:val="000000"/>
        </w:rPr>
        <w:t xml:space="preserve">La Società </w:t>
      </w:r>
      <w:proofErr w:type="spellStart"/>
      <w:r w:rsidRPr="006908BC">
        <w:rPr>
          <w:rFonts w:ascii="Verdana" w:hAnsi="Verdana" w:cs="Times New Roman"/>
          <w:b/>
          <w:bCs/>
          <w:color w:val="000000"/>
        </w:rPr>
        <w:t>fidejubente</w:t>
      </w:r>
      <w:proofErr w:type="spellEnd"/>
      <w:r w:rsidRPr="006908BC">
        <w:rPr>
          <w:rFonts w:ascii="Verdana" w:hAnsi="Verdana" w:cs="Times New Roman"/>
          <w:b/>
          <w:bCs/>
          <w:color w:val="000000"/>
        </w:rPr>
        <w:t xml:space="preserve"> rinuncia espressamente al beneficio della preventiva escussione del debitore principale e la rinuncia all’eccezione di cui all’art. 1957 comma 2, del codice civile. </w:t>
      </w:r>
    </w:p>
    <w:p w:rsidR="005A2ADA" w:rsidRPr="006908BC" w:rsidRDefault="006168CD" w:rsidP="005A2ADA">
      <w:pPr>
        <w:pStyle w:val="Default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6908BC">
        <w:rPr>
          <w:rFonts w:ascii="Verdana" w:hAnsi="Verdana" w:cs="Times New Roman"/>
          <w:b/>
          <w:bCs/>
          <w:sz w:val="22"/>
          <w:szCs w:val="22"/>
        </w:rPr>
        <w:t xml:space="preserve">Il pagamento dell'importo dovuto sarà effettuato a semplice richiesta dell'Istituto ed entro 15 giorni dalla stessa senza che da parte della Società </w:t>
      </w:r>
      <w:proofErr w:type="spellStart"/>
      <w:r w:rsidRPr="006908BC">
        <w:rPr>
          <w:rFonts w:ascii="Verdana" w:hAnsi="Verdana" w:cs="Times New Roman"/>
          <w:b/>
          <w:bCs/>
          <w:sz w:val="22"/>
          <w:szCs w:val="22"/>
        </w:rPr>
        <w:t>fidejubente</w:t>
      </w:r>
      <w:proofErr w:type="spellEnd"/>
      <w:r w:rsidRPr="006908BC">
        <w:rPr>
          <w:rFonts w:ascii="Verdana" w:hAnsi="Verdana" w:cs="Times New Roman"/>
          <w:b/>
          <w:bCs/>
          <w:sz w:val="22"/>
          <w:szCs w:val="22"/>
        </w:rPr>
        <w:t xml:space="preserve"> o della ditta contraente possano essere sollevate eccezioni o invocate decadenze di alcun genere, neppure in ordine all'avvenuta scadenza della polizza, al mancato pagamento del premio o dei supplementi di premio o ai rapporti contrattuali tra l'Istituto garantito e la ditta contraen</w:t>
      </w:r>
      <w:r w:rsidR="005A2ADA" w:rsidRPr="006908BC">
        <w:rPr>
          <w:rFonts w:ascii="Verdana" w:hAnsi="Verdana" w:cs="Times New Roman"/>
          <w:b/>
          <w:bCs/>
          <w:sz w:val="22"/>
          <w:szCs w:val="22"/>
        </w:rPr>
        <w:t>t</w:t>
      </w:r>
      <w:r w:rsidRPr="006908BC">
        <w:rPr>
          <w:rFonts w:ascii="Verdana" w:hAnsi="Verdana" w:cs="Times New Roman"/>
          <w:b/>
          <w:bCs/>
          <w:sz w:val="22"/>
          <w:szCs w:val="22"/>
        </w:rPr>
        <w:t>e.</w:t>
      </w:r>
    </w:p>
    <w:p w:rsidR="006168CD" w:rsidRPr="006908BC" w:rsidRDefault="006168CD" w:rsidP="005A2ADA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6908BC">
        <w:rPr>
          <w:rFonts w:ascii="Verdana" w:hAnsi="Verdana" w:cs="Times New Roman"/>
          <w:sz w:val="22"/>
          <w:szCs w:val="22"/>
        </w:rPr>
        <w:t xml:space="preserve">- </w:t>
      </w:r>
      <w:r w:rsidRPr="006908BC">
        <w:rPr>
          <w:rFonts w:ascii="Verdana" w:hAnsi="Verdana" w:cs="Times New Roman"/>
          <w:b/>
          <w:bCs/>
          <w:sz w:val="22"/>
          <w:szCs w:val="22"/>
        </w:rPr>
        <w:t>ogni più ampia responsabilità in caso di infortuni, furti o danni di qualsiasi genere ricadrà sull'appaltatore restandone sollevato l'Istituto appaltante nonché il personale preposto a</w:t>
      </w:r>
      <w:r w:rsidR="00DC6CA1" w:rsidRPr="006908BC">
        <w:rPr>
          <w:rFonts w:ascii="Verdana" w:hAnsi="Verdana" w:cs="Times New Roman"/>
          <w:b/>
          <w:bCs/>
          <w:sz w:val="22"/>
          <w:szCs w:val="22"/>
        </w:rPr>
        <w:t>lla Direzione e Sorveglianza dell’intervento</w:t>
      </w:r>
      <w:r w:rsidRPr="006908BC">
        <w:rPr>
          <w:rFonts w:ascii="Verdana" w:hAnsi="Verdana" w:cs="Times New Roman"/>
          <w:sz w:val="22"/>
          <w:szCs w:val="22"/>
        </w:rPr>
        <w:t xml:space="preserve">; </w:t>
      </w:r>
    </w:p>
    <w:p w:rsidR="006168CD" w:rsidRDefault="006168CD" w:rsidP="00DC6CA1">
      <w:pPr>
        <w:pStyle w:val="Default"/>
        <w:jc w:val="both"/>
        <w:rPr>
          <w:rFonts w:ascii="Verdana" w:hAnsi="Verdana" w:cs="Times New Roman"/>
          <w:b/>
          <w:bCs/>
          <w:color w:val="auto"/>
          <w:sz w:val="22"/>
          <w:szCs w:val="22"/>
        </w:rPr>
      </w:pPr>
      <w:r w:rsidRPr="006908BC">
        <w:rPr>
          <w:rFonts w:ascii="Verdana" w:hAnsi="Verdana" w:cs="Times New Roman"/>
          <w:b/>
          <w:bCs/>
          <w:color w:val="auto"/>
          <w:sz w:val="22"/>
          <w:szCs w:val="22"/>
        </w:rPr>
        <w:t xml:space="preserve">Si precisa inoltre che </w:t>
      </w:r>
      <w:r w:rsidR="00544056">
        <w:rPr>
          <w:rFonts w:ascii="Verdana" w:hAnsi="Verdana" w:cs="Times New Roman"/>
          <w:b/>
          <w:bCs/>
          <w:color w:val="auto"/>
          <w:sz w:val="22"/>
          <w:szCs w:val="22"/>
        </w:rPr>
        <w:t>le consegne</w:t>
      </w:r>
      <w:r w:rsidRPr="006908BC">
        <w:rPr>
          <w:rFonts w:ascii="Verdana" w:hAnsi="Verdana" w:cs="Times New Roman"/>
          <w:b/>
          <w:bCs/>
          <w:color w:val="auto"/>
          <w:sz w:val="22"/>
          <w:szCs w:val="22"/>
        </w:rPr>
        <w:t xml:space="preserve"> dovranno essere eseguit</w:t>
      </w:r>
      <w:r w:rsidR="00544056">
        <w:rPr>
          <w:rFonts w:ascii="Verdana" w:hAnsi="Verdana" w:cs="Times New Roman"/>
          <w:b/>
          <w:bCs/>
          <w:color w:val="auto"/>
          <w:sz w:val="22"/>
          <w:szCs w:val="22"/>
        </w:rPr>
        <w:t>e</w:t>
      </w:r>
      <w:r w:rsidRPr="006908BC">
        <w:rPr>
          <w:rFonts w:ascii="Verdana" w:hAnsi="Verdana" w:cs="Times New Roman"/>
          <w:b/>
          <w:bCs/>
          <w:color w:val="auto"/>
          <w:sz w:val="22"/>
          <w:szCs w:val="22"/>
        </w:rPr>
        <w:t xml:space="preserve"> durante il normale orario di apertura dello stabile INPS interessato.</w:t>
      </w:r>
    </w:p>
    <w:p w:rsidR="008364C0" w:rsidRDefault="008364C0" w:rsidP="00DC6CA1">
      <w:pPr>
        <w:pStyle w:val="Default"/>
        <w:jc w:val="both"/>
        <w:rPr>
          <w:rFonts w:ascii="Verdana" w:hAnsi="Verdana" w:cs="Times New Roman"/>
          <w:b/>
          <w:bCs/>
          <w:color w:val="auto"/>
          <w:sz w:val="22"/>
          <w:szCs w:val="22"/>
        </w:rPr>
      </w:pPr>
    </w:p>
    <w:p w:rsidR="008364C0" w:rsidRDefault="008364C0" w:rsidP="00DC6CA1">
      <w:pPr>
        <w:pStyle w:val="Default"/>
        <w:jc w:val="both"/>
        <w:rPr>
          <w:rFonts w:ascii="Verdana" w:hAnsi="Verdana" w:cs="Times New Roman"/>
          <w:b/>
          <w:bCs/>
          <w:color w:val="auto"/>
          <w:sz w:val="22"/>
          <w:szCs w:val="22"/>
        </w:rPr>
      </w:pPr>
    </w:p>
    <w:p w:rsidR="008364C0" w:rsidRPr="006908BC" w:rsidRDefault="008364C0" w:rsidP="00DC6CA1">
      <w:pPr>
        <w:pStyle w:val="Default"/>
        <w:jc w:val="both"/>
        <w:rPr>
          <w:rFonts w:ascii="Verdana" w:hAnsi="Verdana"/>
          <w:sz w:val="22"/>
          <w:szCs w:val="22"/>
        </w:rPr>
      </w:pPr>
    </w:p>
    <w:sectPr w:rsidR="008364C0" w:rsidRPr="00690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487"/>
    <w:multiLevelType w:val="hybridMultilevel"/>
    <w:tmpl w:val="5DD2D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6DB"/>
    <w:multiLevelType w:val="hybridMultilevel"/>
    <w:tmpl w:val="CED2D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EE4"/>
    <w:multiLevelType w:val="hybridMultilevel"/>
    <w:tmpl w:val="FEC0B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A4E"/>
    <w:multiLevelType w:val="hybridMultilevel"/>
    <w:tmpl w:val="B9EAE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D25"/>
    <w:multiLevelType w:val="hybridMultilevel"/>
    <w:tmpl w:val="597C5B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6CEF"/>
    <w:multiLevelType w:val="hybridMultilevel"/>
    <w:tmpl w:val="A83ED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28BB"/>
    <w:multiLevelType w:val="hybridMultilevel"/>
    <w:tmpl w:val="888A9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317B"/>
    <w:multiLevelType w:val="hybridMultilevel"/>
    <w:tmpl w:val="6E260C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53F7"/>
    <w:multiLevelType w:val="hybridMultilevel"/>
    <w:tmpl w:val="C7105A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D672D59"/>
    <w:multiLevelType w:val="hybridMultilevel"/>
    <w:tmpl w:val="DB642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03015"/>
    <w:multiLevelType w:val="hybridMultilevel"/>
    <w:tmpl w:val="C890DC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F4753"/>
    <w:multiLevelType w:val="hybridMultilevel"/>
    <w:tmpl w:val="A83ED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03C30"/>
    <w:multiLevelType w:val="hybridMultilevel"/>
    <w:tmpl w:val="F8C42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7777C"/>
    <w:multiLevelType w:val="hybridMultilevel"/>
    <w:tmpl w:val="5CE67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F6308"/>
    <w:multiLevelType w:val="hybridMultilevel"/>
    <w:tmpl w:val="0E4A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10358"/>
    <w:multiLevelType w:val="hybridMultilevel"/>
    <w:tmpl w:val="DB840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12"/>
    <w:rsid w:val="00040CF5"/>
    <w:rsid w:val="00043547"/>
    <w:rsid w:val="0006401C"/>
    <w:rsid w:val="00066DE3"/>
    <w:rsid w:val="000B1CF1"/>
    <w:rsid w:val="000C1059"/>
    <w:rsid w:val="000C244E"/>
    <w:rsid w:val="000F2EA8"/>
    <w:rsid w:val="00137778"/>
    <w:rsid w:val="00147138"/>
    <w:rsid w:val="00182F1F"/>
    <w:rsid w:val="00196951"/>
    <w:rsid w:val="002353DF"/>
    <w:rsid w:val="00252844"/>
    <w:rsid w:val="00263627"/>
    <w:rsid w:val="0028519C"/>
    <w:rsid w:val="002A4618"/>
    <w:rsid w:val="002C5273"/>
    <w:rsid w:val="002F1618"/>
    <w:rsid w:val="002F1B6D"/>
    <w:rsid w:val="00302A1D"/>
    <w:rsid w:val="00316A17"/>
    <w:rsid w:val="0033219B"/>
    <w:rsid w:val="00350879"/>
    <w:rsid w:val="003B102C"/>
    <w:rsid w:val="00452369"/>
    <w:rsid w:val="005131A2"/>
    <w:rsid w:val="005278D0"/>
    <w:rsid w:val="005357E8"/>
    <w:rsid w:val="00544056"/>
    <w:rsid w:val="00595F98"/>
    <w:rsid w:val="005A2ADA"/>
    <w:rsid w:val="005C4968"/>
    <w:rsid w:val="005D6A73"/>
    <w:rsid w:val="00611003"/>
    <w:rsid w:val="006168CD"/>
    <w:rsid w:val="006553C1"/>
    <w:rsid w:val="00670469"/>
    <w:rsid w:val="006908BC"/>
    <w:rsid w:val="00692D3F"/>
    <w:rsid w:val="006C267E"/>
    <w:rsid w:val="0072649A"/>
    <w:rsid w:val="00733A94"/>
    <w:rsid w:val="007346CA"/>
    <w:rsid w:val="00737506"/>
    <w:rsid w:val="007401F2"/>
    <w:rsid w:val="00742F1F"/>
    <w:rsid w:val="0076531C"/>
    <w:rsid w:val="007C5FD0"/>
    <w:rsid w:val="007D1F3E"/>
    <w:rsid w:val="0080169B"/>
    <w:rsid w:val="0080686D"/>
    <w:rsid w:val="00820979"/>
    <w:rsid w:val="008364C0"/>
    <w:rsid w:val="008B5750"/>
    <w:rsid w:val="008F5A93"/>
    <w:rsid w:val="00973F45"/>
    <w:rsid w:val="00982504"/>
    <w:rsid w:val="00982F7D"/>
    <w:rsid w:val="00997389"/>
    <w:rsid w:val="009B1812"/>
    <w:rsid w:val="009D1395"/>
    <w:rsid w:val="00A10818"/>
    <w:rsid w:val="00A174DC"/>
    <w:rsid w:val="00A54531"/>
    <w:rsid w:val="00A8564F"/>
    <w:rsid w:val="00AA792F"/>
    <w:rsid w:val="00AD13AC"/>
    <w:rsid w:val="00AD66EE"/>
    <w:rsid w:val="00AD74BC"/>
    <w:rsid w:val="00B12252"/>
    <w:rsid w:val="00B30AA8"/>
    <w:rsid w:val="00B50B51"/>
    <w:rsid w:val="00B541B7"/>
    <w:rsid w:val="00B74E6D"/>
    <w:rsid w:val="00B96C25"/>
    <w:rsid w:val="00BA2947"/>
    <w:rsid w:val="00BB1EA9"/>
    <w:rsid w:val="00BB58BE"/>
    <w:rsid w:val="00BE70C2"/>
    <w:rsid w:val="00C52BDD"/>
    <w:rsid w:val="00C900DF"/>
    <w:rsid w:val="00C975A1"/>
    <w:rsid w:val="00CC4FA4"/>
    <w:rsid w:val="00D0563E"/>
    <w:rsid w:val="00D17B8D"/>
    <w:rsid w:val="00D5037E"/>
    <w:rsid w:val="00D9051D"/>
    <w:rsid w:val="00DA0E4D"/>
    <w:rsid w:val="00DC6CA1"/>
    <w:rsid w:val="00DC7A79"/>
    <w:rsid w:val="00DE0C0C"/>
    <w:rsid w:val="00E04211"/>
    <w:rsid w:val="00E07D0D"/>
    <w:rsid w:val="00E508BA"/>
    <w:rsid w:val="00E51070"/>
    <w:rsid w:val="00E92CF1"/>
    <w:rsid w:val="00EF11C6"/>
    <w:rsid w:val="00EF3342"/>
    <w:rsid w:val="00F405B2"/>
    <w:rsid w:val="00FC0CA8"/>
    <w:rsid w:val="00FF197F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4F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4F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1046">
                                          <w:marLeft w:val="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7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4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491D-62FC-426A-BA7A-3264E259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10</cp:revision>
  <cp:lastPrinted>2018-06-11T07:27:00Z</cp:lastPrinted>
  <dcterms:created xsi:type="dcterms:W3CDTF">2018-06-11T06:15:00Z</dcterms:created>
  <dcterms:modified xsi:type="dcterms:W3CDTF">2018-09-11T11:32:00Z</dcterms:modified>
</cp:coreProperties>
</file>