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090D3D"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029F037A">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10C59">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FD07E5" w:rsidRDefault="00FD07E5" w:rsidP="00B64A93">
            <w:pPr>
              <w:spacing w:line="360" w:lineRule="auto"/>
              <w:jc w:val="center"/>
              <w:rPr>
                <w:rFonts w:ascii="Verdana" w:hAnsi="Verdana"/>
                <w:b/>
                <w:sz w:val="20"/>
                <w:szCs w:val="20"/>
                <w:lang w:val="it-IT" w:eastAsia="it-IT" w:bidi="it-IT"/>
              </w:rPr>
            </w:pPr>
            <w:r w:rsidRPr="00FD07E5">
              <w:rPr>
                <w:rFonts w:ascii="Verdana" w:hAnsi="Verdana"/>
                <w:b/>
                <w:sz w:val="20"/>
                <w:szCs w:val="20"/>
                <w:lang w:val="it-IT" w:eastAsia="it-IT" w:bidi="it-IT"/>
              </w:rPr>
              <w:t xml:space="preserve">Procedura aperta </w:t>
            </w:r>
            <w:r w:rsidR="00B64A93">
              <w:rPr>
                <w:rFonts w:ascii="Verdana" w:hAnsi="Verdana"/>
                <w:b/>
                <w:sz w:val="20"/>
                <w:szCs w:val="20"/>
                <w:lang w:val="it-IT" w:eastAsia="it-IT" w:bidi="it-IT"/>
              </w:rPr>
              <w:t xml:space="preserve">in ambito </w:t>
            </w:r>
            <w:r w:rsidRPr="00FD07E5">
              <w:rPr>
                <w:rFonts w:ascii="Verdana" w:hAnsi="Verdana"/>
                <w:b/>
                <w:sz w:val="20"/>
                <w:szCs w:val="20"/>
                <w:lang w:val="it-IT" w:eastAsia="it-IT" w:bidi="it-IT"/>
              </w:rPr>
              <w:t xml:space="preserve">comunitario, ai sensi dell’art. 60 del </w:t>
            </w:r>
            <w:proofErr w:type="spellStart"/>
            <w:r w:rsidRPr="00FD07E5">
              <w:rPr>
                <w:rFonts w:ascii="Verdana" w:hAnsi="Verdana"/>
                <w:b/>
                <w:sz w:val="20"/>
                <w:szCs w:val="20"/>
                <w:lang w:val="it-IT" w:eastAsia="it-IT" w:bidi="it-IT"/>
              </w:rPr>
              <w:t>D.Lgs.</w:t>
            </w:r>
            <w:proofErr w:type="spellEnd"/>
            <w:r w:rsidRPr="00FD07E5">
              <w:rPr>
                <w:rFonts w:ascii="Verdana" w:hAnsi="Verdana"/>
                <w:b/>
                <w:sz w:val="20"/>
                <w:szCs w:val="20"/>
                <w:lang w:val="it-IT" w:eastAsia="it-IT" w:bidi="it-IT"/>
              </w:rPr>
              <w:t xml:space="preserve"> n. 50/2016, volta all’affidamento della «</w:t>
            </w:r>
            <w:r w:rsidRPr="00510C59">
              <w:rPr>
                <w:rFonts w:ascii="Verdana" w:hAnsi="Verdana"/>
                <w:b/>
                <w:i/>
                <w:sz w:val="20"/>
                <w:szCs w:val="20"/>
                <w:lang w:val="it-IT" w:eastAsia="it-IT" w:bidi="it-IT"/>
              </w:rPr>
              <w:t>Gestione in global service della Casa di soggiorno ex ENAM sita in Roma, Piazza dei Giuochi Delfici n° 15</w:t>
            </w:r>
            <w:r w:rsidRPr="00FD07E5">
              <w:rPr>
                <w:rFonts w:ascii="Verdana" w:hAnsi="Verdana"/>
                <w:b/>
                <w:sz w:val="20"/>
                <w:szCs w:val="20"/>
                <w:lang w:val="it-IT" w:eastAsia="it-IT" w:bidi="it-IT"/>
              </w:rPr>
              <w:t>»</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Default="00B609FD" w:rsidP="00C41AC5">
      <w:pPr>
        <w:spacing w:line="360" w:lineRule="auto"/>
        <w:jc w:val="center"/>
        <w:rPr>
          <w:rFonts w:ascii="Verdana" w:hAnsi="Verdana"/>
          <w:b/>
          <w:sz w:val="20"/>
          <w:szCs w:val="20"/>
          <w:lang w:val="it-IT"/>
        </w:rPr>
      </w:pPr>
    </w:p>
    <w:p w:rsidR="00FD07E5" w:rsidRDefault="00FD07E5" w:rsidP="00C41AC5">
      <w:pPr>
        <w:spacing w:line="360" w:lineRule="auto"/>
        <w:jc w:val="center"/>
        <w:rPr>
          <w:rFonts w:ascii="Verdana" w:hAnsi="Verdana"/>
          <w:b/>
          <w:sz w:val="20"/>
          <w:szCs w:val="20"/>
          <w:lang w:val="it-IT"/>
        </w:rPr>
      </w:pPr>
    </w:p>
    <w:p w:rsidR="00FD07E5" w:rsidRPr="0065753A" w:rsidRDefault="00FD07E5"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10C59"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510C59"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lastRenderedPageBreak/>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510C59"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510C59"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510C59"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510C59"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510C59"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510C59"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E876F3">
        <w:rPr>
          <w:rFonts w:ascii="Verdana" w:hAnsi="Verdana" w:cs="Arial"/>
          <w:sz w:val="20"/>
          <w:szCs w:val="20"/>
          <w:lang w:val="it-IT"/>
        </w:rPr>
        <w:t>,</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E876F3">
        <w:rPr>
          <w:rFonts w:ascii="Verdana" w:hAnsi="Verdana" w:cs="Arial"/>
          <w:b/>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 xml:space="preserve">attenzione: indicare tutti i provvedimenti </w:t>
      </w:r>
      <w:r w:rsidRPr="00D934A4">
        <w:rPr>
          <w:rFonts w:ascii="Verdana" w:hAnsi="Verdana" w:cs="Arial"/>
          <w:b/>
          <w:i/>
          <w:sz w:val="20"/>
          <w:szCs w:val="20"/>
          <w:lang w:val="it-IT"/>
        </w:rPr>
        <w:t>di condanna</w:t>
      </w:r>
      <w:r w:rsidR="0077270F" w:rsidRPr="00D934A4">
        <w:rPr>
          <w:rFonts w:ascii="Verdana" w:hAnsi="Verdana" w:cs="Arial"/>
          <w:b/>
          <w:i/>
          <w:sz w:val="20"/>
          <w:szCs w:val="20"/>
          <w:lang w:val="it-IT"/>
        </w:rPr>
        <w:t xml:space="preserve">, </w:t>
      </w:r>
      <w:r w:rsidR="0077270F" w:rsidRPr="00D934A4">
        <w:rPr>
          <w:rFonts w:ascii="Verdana" w:hAnsi="Verdana" w:cs="Arial"/>
          <w:b/>
          <w:i/>
          <w:sz w:val="20"/>
          <w:szCs w:val="20"/>
          <w:u w:val="single"/>
          <w:lang w:val="it-IT"/>
        </w:rPr>
        <w:t>ivi compresi quelli per i quali sia stato conseguito il beneficio della non menzione</w:t>
      </w:r>
      <w:r w:rsidR="0077270F" w:rsidRPr="00D934A4">
        <w:rPr>
          <w:rFonts w:ascii="Verdana" w:hAnsi="Verdana" w:cs="Arial"/>
          <w:b/>
          <w:i/>
          <w:sz w:val="20"/>
          <w:szCs w:val="20"/>
          <w:lang w:val="it-IT"/>
        </w:rPr>
        <w:t>,</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00E876F3">
        <w:rPr>
          <w:rFonts w:ascii="Verdana" w:hAnsi="Verdana" w:cs="Arial"/>
          <w:b/>
          <w:i/>
          <w:sz w:val="20"/>
          <w:szCs w:val="20"/>
          <w:lang w:val="it-IT"/>
        </w:rPr>
        <w:t>,</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10C59"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510C59"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10C59"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10C59"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10C59"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10C59"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10C59"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10C59"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726185">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251BF6" w:rsidRDefault="009F10C8" w:rsidP="001A6C1D">
      <w:pPr>
        <w:numPr>
          <w:ilvl w:val="0"/>
          <w:numId w:val="20"/>
        </w:numPr>
        <w:spacing w:after="120"/>
        <w:jc w:val="both"/>
        <w:rPr>
          <w:rFonts w:ascii="Verdana" w:hAnsi="Verdana" w:cs="Arial"/>
          <w:sz w:val="20"/>
          <w:szCs w:val="20"/>
          <w:lang w:val="it-IT"/>
        </w:rPr>
      </w:pPr>
      <w:proofErr w:type="gramStart"/>
      <w:r w:rsidRPr="00251BF6">
        <w:rPr>
          <w:rFonts w:ascii="Verdana" w:hAnsi="Verdana" w:cs="Arial"/>
          <w:sz w:val="20"/>
          <w:szCs w:val="20"/>
          <w:lang w:val="it-IT"/>
        </w:rPr>
        <w:t>di</w:t>
      </w:r>
      <w:proofErr w:type="gramEnd"/>
      <w:r w:rsidRPr="00251BF6">
        <w:rPr>
          <w:rFonts w:ascii="Verdana" w:hAnsi="Verdana" w:cs="Arial"/>
          <w:sz w:val="20"/>
          <w:szCs w:val="20"/>
          <w:lang w:val="it-IT"/>
        </w:rPr>
        <w:t xml:space="preserve">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e che è stata sentita l’Autorità Nazionale </w:t>
      </w:r>
      <w:proofErr w:type="spellStart"/>
      <w:r w:rsidR="00074D46" w:rsidRPr="00251BF6">
        <w:rPr>
          <w:rFonts w:ascii="Verdana" w:hAnsi="Verdana" w:cs="Arial"/>
          <w:sz w:val="20"/>
          <w:szCs w:val="20"/>
          <w:lang w:val="it-IT"/>
        </w:rPr>
        <w:t>AntiCorruzione</w:t>
      </w:r>
      <w:proofErr w:type="spellEnd"/>
      <w:r w:rsidR="00450D60">
        <w:rPr>
          <w:rFonts w:ascii="Verdana" w:hAnsi="Verdana" w:cs="Arial"/>
          <w:sz w:val="20"/>
          <w:szCs w:val="20"/>
          <w:lang w:val="it-IT"/>
        </w:rPr>
        <w:t>,</w:t>
      </w:r>
      <w:r w:rsidR="00074D46" w:rsidRPr="00251BF6">
        <w:rPr>
          <w:rFonts w:ascii="Verdana" w:hAnsi="Verdana" w:cs="Arial"/>
          <w:sz w:val="20"/>
          <w:szCs w:val="20"/>
          <w:lang w:val="it-IT"/>
        </w:rPr>
        <w:t xml:space="preserve"> la quale si è espressa con provvedimento n. __________, del____________</w:t>
      </w:r>
      <w:r w:rsidRPr="00251BF6">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w:t>
      </w:r>
      <w:r w:rsidRPr="00C1464C">
        <w:rPr>
          <w:rFonts w:ascii="Verdana" w:hAnsi="Verdana" w:cs="Arial"/>
          <w:sz w:val="20"/>
          <w:szCs w:val="20"/>
          <w:lang w:val="it-IT"/>
        </w:rPr>
        <w:lastRenderedPageBreak/>
        <w:t xml:space="preserve">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8F51DA"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8F51DA" w:rsidRPr="00C1464C"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8F51DA" w:rsidRPr="00C1464C" w:rsidRDefault="008F51DA" w:rsidP="008F51DA">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8F51DA" w:rsidRPr="00C1464C" w:rsidRDefault="008F51DA" w:rsidP="008F51DA">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91F88" w:rsidRDefault="00E67D03" w:rsidP="00E67D03">
      <w:pPr>
        <w:numPr>
          <w:ilvl w:val="0"/>
          <w:numId w:val="23"/>
        </w:numPr>
        <w:spacing w:after="120"/>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82387F">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510C59"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bookmarkStart w:id="0" w:name="_GoBack" w:colFirst="0" w:colLast="1"/>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bookmarkEnd w:id="0"/>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291F88">
        <w:rPr>
          <w:rFonts w:ascii="Verdana" w:hAnsi="Verdana" w:cs="Arial"/>
          <w:sz w:val="20"/>
          <w:szCs w:val="20"/>
          <w:lang w:val="it-IT"/>
        </w:rPr>
        <w:t>D.Lgs.</w:t>
      </w:r>
      <w:proofErr w:type="spellEnd"/>
      <w:r w:rsidRPr="00291F88">
        <w:rPr>
          <w:rFonts w:ascii="Verdana" w:hAnsi="Verdana" w:cs="Arial"/>
          <w:sz w:val="20"/>
          <w:szCs w:val="20"/>
          <w:lang w:val="it-IT"/>
        </w:rPr>
        <w:t xml:space="preserve"> n. 286 del 25 luglio 1998, comportanti l’esclusione dalle gare;</w:t>
      </w:r>
    </w:p>
    <w:p w:rsidR="005F5AED" w:rsidRPr="00291F88" w:rsidRDefault="0082387F"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005F5AED" w:rsidRPr="00291F88">
        <w:rPr>
          <w:rFonts w:ascii="Verdana" w:hAnsi="Verdana" w:cs="Arial"/>
          <w:sz w:val="20"/>
          <w:szCs w:val="20"/>
          <w:lang w:val="it-IT"/>
        </w:rPr>
        <w:t xml:space="preserve">non sussiste la causa </w:t>
      </w:r>
      <w:proofErr w:type="spellStart"/>
      <w:r w:rsidR="005F5AED" w:rsidRPr="00291F88">
        <w:rPr>
          <w:rFonts w:ascii="Verdana" w:hAnsi="Verdana" w:cs="Arial"/>
          <w:sz w:val="20"/>
          <w:szCs w:val="20"/>
          <w:lang w:val="it-IT"/>
        </w:rPr>
        <w:t>interdittiva</w:t>
      </w:r>
      <w:proofErr w:type="spellEnd"/>
      <w:r w:rsidR="005F5AED" w:rsidRPr="00291F88">
        <w:rPr>
          <w:rFonts w:ascii="Verdana" w:hAnsi="Verdana" w:cs="Arial"/>
          <w:sz w:val="20"/>
          <w:szCs w:val="20"/>
          <w:lang w:val="it-IT"/>
        </w:rPr>
        <w:t xml:space="preserve"> di cui all’art. 53, comma 16-</w:t>
      </w:r>
      <w:r w:rsidR="005F5AED" w:rsidRPr="00291F88">
        <w:rPr>
          <w:rFonts w:ascii="Verdana" w:hAnsi="Verdana" w:cs="Arial"/>
          <w:i/>
          <w:sz w:val="20"/>
          <w:szCs w:val="20"/>
          <w:lang w:val="it-IT"/>
        </w:rPr>
        <w:t>ter</w:t>
      </w:r>
      <w:r w:rsidR="005F5AED" w:rsidRPr="00291F88">
        <w:rPr>
          <w:rFonts w:ascii="Verdana" w:hAnsi="Verdana" w:cs="Arial"/>
          <w:sz w:val="20"/>
          <w:szCs w:val="20"/>
          <w:lang w:val="it-IT"/>
        </w:rPr>
        <w:t xml:space="preserve">, del </w:t>
      </w:r>
      <w:proofErr w:type="spellStart"/>
      <w:r w:rsidR="005F5AED" w:rsidRPr="00291F88">
        <w:rPr>
          <w:rFonts w:ascii="Verdana" w:hAnsi="Verdana" w:cs="Arial"/>
          <w:sz w:val="20"/>
          <w:szCs w:val="20"/>
          <w:lang w:val="it-IT"/>
        </w:rPr>
        <w:t>D.Lgs.</w:t>
      </w:r>
      <w:proofErr w:type="spellEnd"/>
      <w:r w:rsidR="005F5AED" w:rsidRPr="00291F88">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291F88">
        <w:rPr>
          <w:rFonts w:ascii="Verdana" w:hAnsi="Verdana" w:cs="Arial"/>
          <w:i/>
          <w:sz w:val="20"/>
          <w:szCs w:val="20"/>
          <w:lang w:val="it-IT"/>
        </w:rPr>
        <w:t>ex</w:t>
      </w:r>
      <w:r w:rsidR="005F5AED" w:rsidRPr="00291F88">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291F88">
        <w:rPr>
          <w:rFonts w:ascii="Verdana" w:hAnsi="Verdana" w:cs="Arial"/>
          <w:sz w:val="20"/>
          <w:szCs w:val="20"/>
          <w:lang w:val="it-IT"/>
        </w:rPr>
        <w:t>D.Lgs.</w:t>
      </w:r>
      <w:proofErr w:type="spellEnd"/>
      <w:r w:rsidR="005F5AED" w:rsidRPr="00291F88">
        <w:rPr>
          <w:rFonts w:ascii="Verdana" w:hAnsi="Verdana" w:cs="Arial"/>
          <w:sz w:val="20"/>
          <w:szCs w:val="20"/>
          <w:lang w:val="it-IT"/>
        </w:rPr>
        <w:t xml:space="preserve"> 39/13</w:t>
      </w:r>
      <w:r w:rsidR="002C2C4B">
        <w:rPr>
          <w:rFonts w:ascii="Verdana" w:hAnsi="Verdana" w:cs="Arial"/>
          <w:sz w:val="20"/>
          <w:szCs w:val="20"/>
          <w:lang w:val="it-IT"/>
        </w:rPr>
        <w:t>,</w:t>
      </w:r>
      <w:r w:rsidR="005F5AED" w:rsidRPr="00291F88">
        <w:rPr>
          <w:rFonts w:ascii="Verdana" w:hAnsi="Verdana" w:cs="Arial"/>
          <w:sz w:val="20"/>
          <w:szCs w:val="20"/>
          <w:lang w:val="it-IT"/>
        </w:rPr>
        <w:t xml:space="preserve"> ovvero soggetti titolari di uno degli incarichi di cui al </w:t>
      </w:r>
      <w:proofErr w:type="spellStart"/>
      <w:r w:rsidR="005F5AED" w:rsidRPr="00291F88">
        <w:rPr>
          <w:rFonts w:ascii="Verdana" w:hAnsi="Verdana" w:cs="Arial"/>
          <w:sz w:val="20"/>
          <w:szCs w:val="20"/>
          <w:lang w:val="it-IT"/>
        </w:rPr>
        <w:t>D.Lgs.</w:t>
      </w:r>
      <w:proofErr w:type="spellEnd"/>
      <w:r w:rsidR="005F5AED" w:rsidRPr="00291F88">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E67D03" w:rsidRPr="00291F88">
        <w:rPr>
          <w:rFonts w:ascii="Verdana" w:hAnsi="Verdana" w:cs="Arial"/>
          <w:sz w:val="20"/>
          <w:szCs w:val="20"/>
          <w:lang w:val="it-IT"/>
        </w:rPr>
        <w:t>;</w:t>
      </w:r>
    </w:p>
    <w:p w:rsidR="001B5AAB" w:rsidRPr="00D2371D"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D2371D">
        <w:rPr>
          <w:rFonts w:ascii="Verdana" w:hAnsi="Verdana" w:cs="Arial"/>
          <w:sz w:val="20"/>
          <w:szCs w:val="20"/>
          <w:lang w:val="it-IT"/>
        </w:rPr>
        <w:t>di</w:t>
      </w:r>
      <w:proofErr w:type="gramEnd"/>
      <w:r w:rsidRPr="00D2371D">
        <w:rPr>
          <w:rFonts w:ascii="Verdana" w:hAnsi="Verdana" w:cs="Arial"/>
          <w:sz w:val="20"/>
          <w:szCs w:val="20"/>
          <w:lang w:val="it-IT"/>
        </w:rPr>
        <w:t xml:space="preserve">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291F88">
        <w:rPr>
          <w:rFonts w:ascii="Verdana" w:hAnsi="Verdana"/>
          <w:sz w:val="20"/>
          <w:szCs w:val="20"/>
          <w:lang w:val="it-IT"/>
        </w:rPr>
        <w:t>che</w:t>
      </w:r>
      <w:proofErr w:type="gramEnd"/>
      <w:r w:rsidRPr="00291F88">
        <w:rPr>
          <w:rFonts w:ascii="Verdana" w:hAnsi="Verdana"/>
          <w:sz w:val="20"/>
          <w:szCs w:val="20"/>
          <w:lang w:val="it-IT"/>
        </w:rPr>
        <w:t xml:space="preserv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proofErr w:type="gramStart"/>
      <w:r w:rsidRPr="00291F88">
        <w:rPr>
          <w:rFonts w:ascii="Verdana" w:hAnsi="Verdana"/>
          <w:i/>
          <w:sz w:val="20"/>
          <w:szCs w:val="20"/>
          <w:lang w:val="it-IT"/>
        </w:rPr>
        <w:t>compilare</w:t>
      </w:r>
      <w:proofErr w:type="gramEnd"/>
      <w:r w:rsidRPr="00291F88">
        <w:rPr>
          <w:rFonts w:ascii="Verdana" w:hAnsi="Verdana"/>
          <w:i/>
          <w:sz w:val="20"/>
          <w:szCs w:val="20"/>
          <w:lang w:val="it-IT"/>
        </w:rPr>
        <w:t xml:space="preserv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lastRenderedPageBreak/>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 xml:space="preserve">[Luogo e </w:t>
      </w:r>
      <w:proofErr w:type="gramStart"/>
      <w:r w:rsidRPr="00291F88">
        <w:rPr>
          <w:rFonts w:ascii="Verdana" w:hAnsi="Verdana" w:cs="Arial"/>
          <w:i/>
          <w:sz w:val="20"/>
          <w:szCs w:val="20"/>
          <w:lang w:val="it-IT"/>
        </w:rPr>
        <w:t>Data]</w:t>
      </w:r>
      <w:r w:rsidRPr="00291F88">
        <w:rPr>
          <w:rFonts w:ascii="Verdana" w:hAnsi="Verdana" w:cs="Arial"/>
          <w:sz w:val="20"/>
          <w:szCs w:val="20"/>
          <w:lang w:val="it-IT"/>
        </w:rPr>
        <w:t>_</w:t>
      </w:r>
      <w:proofErr w:type="gramEnd"/>
      <w:r w:rsidRPr="00291F88">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ai soggetti indicati </w:t>
      </w:r>
      <w:r w:rsidRPr="00251BF6">
        <w:rPr>
          <w:rFonts w:ascii="Verdana" w:hAnsi="Verdana" w:cs="Arial"/>
          <w:i/>
          <w:sz w:val="20"/>
          <w:szCs w:val="20"/>
          <w:lang w:val="it-IT"/>
        </w:rPr>
        <w:t xml:space="preserve">al comma 3° di </w:t>
      </w:r>
      <w:r w:rsidR="00D22D81" w:rsidRPr="00251BF6">
        <w:rPr>
          <w:rFonts w:ascii="Verdana" w:hAnsi="Verdana" w:cs="Arial"/>
          <w:i/>
          <w:sz w:val="20"/>
          <w:szCs w:val="20"/>
          <w:lang w:val="it-IT"/>
        </w:rPr>
        <w:t>tale articolo;</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251BF6">
        <w:rPr>
          <w:rFonts w:ascii="Verdana" w:hAnsi="Verdana" w:cs="Arial"/>
          <w:i/>
          <w:sz w:val="20"/>
          <w:szCs w:val="20"/>
          <w:lang w:val="it-IT"/>
        </w:rPr>
        <w:t>in</w:t>
      </w:r>
      <w:proofErr w:type="gramEnd"/>
      <w:r w:rsidRPr="00251BF6">
        <w:rPr>
          <w:rFonts w:ascii="Verdana" w:hAnsi="Verdana" w:cs="Arial"/>
          <w:i/>
          <w:sz w:val="20"/>
          <w:szCs w:val="20"/>
          <w:lang w:val="it-IT"/>
        </w:rPr>
        <w:t xml:space="preserve">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4E21F9">
        <w:rPr>
          <w:rFonts w:ascii="Verdana" w:hAnsi="Verdana" w:cs="Arial"/>
          <w:i/>
          <w:sz w:val="20"/>
          <w:szCs w:val="20"/>
          <w:lang w:val="it-IT"/>
        </w:rPr>
        <w:t>, comma 1°,</w:t>
      </w:r>
      <w:r w:rsidR="000C4F8D" w:rsidRPr="00251BF6">
        <w:rPr>
          <w:rFonts w:ascii="Verdana" w:hAnsi="Verdana" w:cs="Arial"/>
          <w:i/>
          <w:sz w:val="20"/>
          <w:szCs w:val="20"/>
          <w:lang w:val="it-IT"/>
        </w:rPr>
        <w:t xml:space="preserve"> del </w:t>
      </w:r>
      <w:proofErr w:type="spellStart"/>
      <w:r w:rsidR="000C4F8D" w:rsidRPr="00251BF6">
        <w:rPr>
          <w:rFonts w:ascii="Verdana" w:hAnsi="Verdana" w:cs="Arial"/>
          <w:i/>
          <w:sz w:val="20"/>
          <w:szCs w:val="20"/>
          <w:lang w:val="it-IT"/>
        </w:rPr>
        <w:t>D.Lgs.</w:t>
      </w:r>
      <w:proofErr w:type="spellEnd"/>
      <w:r w:rsidR="000C4F8D" w:rsidRPr="00251BF6">
        <w:rPr>
          <w:rFonts w:ascii="Verdana" w:hAnsi="Verdana" w:cs="Arial"/>
          <w:i/>
          <w:sz w:val="20"/>
          <w:szCs w:val="20"/>
          <w:lang w:val="it-IT"/>
        </w:rPr>
        <w:t xml:space="preserve"> 50/16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in</w:t>
      </w:r>
      <w:proofErr w:type="gramEnd"/>
      <w:r w:rsidRPr="00C1464C">
        <w:rPr>
          <w:rFonts w:ascii="Verdana" w:hAnsi="Verdana" w:cs="Arial"/>
          <w:i/>
          <w:sz w:val="20"/>
          <w:szCs w:val="20"/>
          <w:lang w:val="it-IT"/>
        </w:rPr>
        <w:t xml:space="preserve">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F1" w:rsidRDefault="00F657F1">
      <w:r>
        <w:separator/>
      </w:r>
    </w:p>
  </w:endnote>
  <w:endnote w:type="continuationSeparator" w:id="0">
    <w:p w:rsidR="00F657F1" w:rsidRDefault="00F657F1">
      <w:r>
        <w:continuationSeparator/>
      </w:r>
    </w:p>
  </w:endnote>
  <w:endnote w:type="continuationNotice" w:id="1">
    <w:p w:rsidR="00F657F1" w:rsidRDefault="00F6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10C59">
      <w:rPr>
        <w:rStyle w:val="Numeropagina"/>
        <w:rFonts w:ascii="Verdana" w:hAnsi="Verdana"/>
        <w:noProof/>
        <w:sz w:val="16"/>
        <w:szCs w:val="16"/>
      </w:rPr>
      <w:t>10</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F1" w:rsidRDefault="00F657F1">
      <w:r>
        <w:separator/>
      </w:r>
    </w:p>
  </w:footnote>
  <w:footnote w:type="continuationSeparator" w:id="0">
    <w:p w:rsidR="00F657F1" w:rsidRDefault="00F657F1">
      <w:r>
        <w:continuationSeparator/>
      </w:r>
    </w:p>
  </w:footnote>
  <w:footnote w:type="continuationNotice" w:id="1">
    <w:p w:rsidR="00F657F1" w:rsidRDefault="00F657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E5" w:rsidRPr="00FD07E5" w:rsidRDefault="00FD07E5" w:rsidP="00FD07E5">
    <w:pPr>
      <w:spacing w:after="200"/>
      <w:jc w:val="center"/>
      <w:rPr>
        <w:rFonts w:ascii="Verdana" w:eastAsia="Calibri" w:hAnsi="Verdana"/>
        <w:bCs/>
        <w:i/>
        <w:sz w:val="16"/>
        <w:szCs w:val="16"/>
        <w:lang w:val="it-IT"/>
      </w:rPr>
    </w:pPr>
    <w:r w:rsidRPr="00FD07E5">
      <w:rPr>
        <w:rFonts w:ascii="Verdana" w:eastAsia="Calibri" w:hAnsi="Verdana"/>
        <w:bCs/>
        <w:i/>
        <w:sz w:val="16"/>
        <w:szCs w:val="16"/>
        <w:lang w:val="it-IT"/>
      </w:rPr>
      <w:t>Procedura aperta di carattere comunitario, ai sensi</w:t>
    </w:r>
    <w:r w:rsidRPr="00FD07E5">
      <w:rPr>
        <w:rFonts w:ascii="Verdana" w:hAnsi="Verdana"/>
        <w:i/>
        <w:sz w:val="16"/>
        <w:szCs w:val="16"/>
        <w:lang w:val="it-IT" w:eastAsia="it-IT"/>
      </w:rPr>
      <w:t xml:space="preserve"> </w:t>
    </w:r>
    <w:r w:rsidRPr="00FD07E5">
      <w:rPr>
        <w:rFonts w:ascii="Verdana" w:eastAsia="Calibri" w:hAnsi="Verdana"/>
        <w:bCs/>
        <w:i/>
        <w:sz w:val="16"/>
        <w:szCs w:val="16"/>
        <w:lang w:val="it-IT"/>
      </w:rPr>
      <w:t xml:space="preserve">dell’art. 60 del </w:t>
    </w:r>
    <w:proofErr w:type="spellStart"/>
    <w:r w:rsidRPr="00FD07E5">
      <w:rPr>
        <w:rFonts w:ascii="Verdana" w:eastAsia="Calibri" w:hAnsi="Verdana"/>
        <w:bCs/>
        <w:i/>
        <w:sz w:val="16"/>
        <w:szCs w:val="16"/>
        <w:lang w:val="it-IT"/>
      </w:rPr>
      <w:t>D.Lgs.</w:t>
    </w:r>
    <w:proofErr w:type="spellEnd"/>
    <w:r w:rsidRPr="00FD07E5">
      <w:rPr>
        <w:rFonts w:ascii="Verdana" w:eastAsia="Calibri" w:hAnsi="Verdana"/>
        <w:bCs/>
        <w:i/>
        <w:sz w:val="16"/>
        <w:szCs w:val="16"/>
        <w:lang w:val="it-IT"/>
      </w:rPr>
      <w:t xml:space="preserve"> n. 50/2016, volta all’affidamento della «Gestione in global service della Casa di soggiorno ex ENAM sita in Roma, Piazza dei Giuochi Delfici n° 15»</w:t>
    </w:r>
  </w:p>
  <w:p w:rsidR="00022FCC" w:rsidRPr="00090D3D" w:rsidRDefault="00022FCC" w:rsidP="00090D3D">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grammar="clean"/>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0D3D"/>
    <w:rsid w:val="00091248"/>
    <w:rsid w:val="000929A2"/>
    <w:rsid w:val="00093E86"/>
    <w:rsid w:val="000944B5"/>
    <w:rsid w:val="00094616"/>
    <w:rsid w:val="000965AD"/>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4BE"/>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7DB2"/>
    <w:rsid w:val="001C7E56"/>
    <w:rsid w:val="001D1E06"/>
    <w:rsid w:val="001D2571"/>
    <w:rsid w:val="001D3396"/>
    <w:rsid w:val="001D5480"/>
    <w:rsid w:val="001D60AD"/>
    <w:rsid w:val="001D7901"/>
    <w:rsid w:val="001E12B3"/>
    <w:rsid w:val="001E2099"/>
    <w:rsid w:val="001E20EA"/>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639"/>
    <w:rsid w:val="00244D43"/>
    <w:rsid w:val="0024560F"/>
    <w:rsid w:val="002472FA"/>
    <w:rsid w:val="00251295"/>
    <w:rsid w:val="00251BF6"/>
    <w:rsid w:val="002526A2"/>
    <w:rsid w:val="0025328D"/>
    <w:rsid w:val="00253C1D"/>
    <w:rsid w:val="00254624"/>
    <w:rsid w:val="002610ED"/>
    <w:rsid w:val="002615F7"/>
    <w:rsid w:val="00261B52"/>
    <w:rsid w:val="00265265"/>
    <w:rsid w:val="00271C06"/>
    <w:rsid w:val="002723FB"/>
    <w:rsid w:val="0027502E"/>
    <w:rsid w:val="0027552A"/>
    <w:rsid w:val="002761E5"/>
    <w:rsid w:val="00276EBE"/>
    <w:rsid w:val="00280DC4"/>
    <w:rsid w:val="002846D2"/>
    <w:rsid w:val="0028650C"/>
    <w:rsid w:val="002908D5"/>
    <w:rsid w:val="00291624"/>
    <w:rsid w:val="00291A88"/>
    <w:rsid w:val="00291F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2F2"/>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5EFA"/>
    <w:rsid w:val="003A749B"/>
    <w:rsid w:val="003A7D41"/>
    <w:rsid w:val="003B155D"/>
    <w:rsid w:val="003B1F4A"/>
    <w:rsid w:val="003B20FF"/>
    <w:rsid w:val="003B40D7"/>
    <w:rsid w:val="003B6219"/>
    <w:rsid w:val="003B6FCF"/>
    <w:rsid w:val="003B7873"/>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27B5"/>
    <w:rsid w:val="00492BCE"/>
    <w:rsid w:val="004A3BDB"/>
    <w:rsid w:val="004A65A0"/>
    <w:rsid w:val="004A73A7"/>
    <w:rsid w:val="004B237F"/>
    <w:rsid w:val="004B5CA8"/>
    <w:rsid w:val="004B5DE2"/>
    <w:rsid w:val="004B758A"/>
    <w:rsid w:val="004C024D"/>
    <w:rsid w:val="004C225F"/>
    <w:rsid w:val="004C285E"/>
    <w:rsid w:val="004C5DAC"/>
    <w:rsid w:val="004C774C"/>
    <w:rsid w:val="004D0BB4"/>
    <w:rsid w:val="004D0C5C"/>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0C59"/>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6682"/>
    <w:rsid w:val="00570625"/>
    <w:rsid w:val="00574E7A"/>
    <w:rsid w:val="0057503D"/>
    <w:rsid w:val="00577AAE"/>
    <w:rsid w:val="0058179E"/>
    <w:rsid w:val="00586B4A"/>
    <w:rsid w:val="00586DF1"/>
    <w:rsid w:val="00586F1D"/>
    <w:rsid w:val="00593ADB"/>
    <w:rsid w:val="005A25BF"/>
    <w:rsid w:val="005A3A2A"/>
    <w:rsid w:val="005A53B2"/>
    <w:rsid w:val="005A546B"/>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26CD"/>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92ED6"/>
    <w:rsid w:val="00694D29"/>
    <w:rsid w:val="00694E9F"/>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4FEB"/>
    <w:rsid w:val="00746474"/>
    <w:rsid w:val="00750469"/>
    <w:rsid w:val="00750C57"/>
    <w:rsid w:val="007511C5"/>
    <w:rsid w:val="0075134A"/>
    <w:rsid w:val="00752D18"/>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527B"/>
    <w:rsid w:val="007B68C2"/>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1111"/>
    <w:rsid w:val="00821760"/>
    <w:rsid w:val="00821ED1"/>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0EDC"/>
    <w:rsid w:val="008F323E"/>
    <w:rsid w:val="008F453E"/>
    <w:rsid w:val="008F51DA"/>
    <w:rsid w:val="008F57AA"/>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77F23"/>
    <w:rsid w:val="0098071B"/>
    <w:rsid w:val="00981706"/>
    <w:rsid w:val="00981EA6"/>
    <w:rsid w:val="0098245B"/>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405"/>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4A93"/>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15E4"/>
    <w:rsid w:val="00BC4EC0"/>
    <w:rsid w:val="00BD1886"/>
    <w:rsid w:val="00BD201F"/>
    <w:rsid w:val="00BD28F0"/>
    <w:rsid w:val="00BD4FB6"/>
    <w:rsid w:val="00BD6E54"/>
    <w:rsid w:val="00BD7348"/>
    <w:rsid w:val="00BE0624"/>
    <w:rsid w:val="00BE3808"/>
    <w:rsid w:val="00BE3E6D"/>
    <w:rsid w:val="00BE3EDB"/>
    <w:rsid w:val="00BF0C49"/>
    <w:rsid w:val="00BF50F8"/>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30A"/>
    <w:rsid w:val="00C95270"/>
    <w:rsid w:val="00C95E3B"/>
    <w:rsid w:val="00C96114"/>
    <w:rsid w:val="00C96E2E"/>
    <w:rsid w:val="00CA055A"/>
    <w:rsid w:val="00CA2551"/>
    <w:rsid w:val="00CA631A"/>
    <w:rsid w:val="00CA64E9"/>
    <w:rsid w:val="00CA7E3A"/>
    <w:rsid w:val="00CB0DC5"/>
    <w:rsid w:val="00CB1051"/>
    <w:rsid w:val="00CB28C7"/>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34FB"/>
    <w:rsid w:val="00E95F35"/>
    <w:rsid w:val="00EA2B3E"/>
    <w:rsid w:val="00EA49F2"/>
    <w:rsid w:val="00EA797A"/>
    <w:rsid w:val="00EB5D43"/>
    <w:rsid w:val="00EB5F7B"/>
    <w:rsid w:val="00EC4AA1"/>
    <w:rsid w:val="00EC5458"/>
    <w:rsid w:val="00ED1E1D"/>
    <w:rsid w:val="00ED522A"/>
    <w:rsid w:val="00ED6A4B"/>
    <w:rsid w:val="00ED74D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7F1"/>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07E5"/>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e34ea66f-0db7-46c8-a0a8-8f5088f419fb</GuiIdItemRett2TempiEsiti>
    <PesoElemento xmlns="2ebd3e46-3bcc-4717-98a7-cf4247cc7ab4">190</PesoElemento>
    <GuiIdGara xmlns="http://schemas.microsoft.com/sharepoint/v3">44d053fe-1308-460f-97ee-ae35dffcf595</GuiIdGara>
  </documentManagement>
</p:properties>
</file>

<file path=customXml/itemProps1.xml><?xml version="1.0" encoding="utf-8"?>
<ds:datastoreItem xmlns:ds="http://schemas.openxmlformats.org/officeDocument/2006/customXml" ds:itemID="{A9B7AB85-B34D-4047-A82C-9C3F37EEC92F}"/>
</file>

<file path=customXml/itemProps2.xml><?xml version="1.0" encoding="utf-8"?>
<ds:datastoreItem xmlns:ds="http://schemas.openxmlformats.org/officeDocument/2006/customXml" ds:itemID="{5767EF86-5811-451B-B346-72BD24916AAF}"/>
</file>

<file path=customXml/itemProps3.xml><?xml version="1.0" encoding="utf-8"?>
<ds:datastoreItem xmlns:ds="http://schemas.openxmlformats.org/officeDocument/2006/customXml" ds:itemID="{D3673109-6CD8-48BF-BED9-B4CCCB4D3DAD}"/>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20043</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Dich. sostitutiva del subappaltatore (.docx)</dc:title>
  <dc:subject/>
  <dc:creator/>
  <cp:keywords/>
  <cp:lastModifiedBy/>
  <cp:revision>1</cp:revision>
  <dcterms:created xsi:type="dcterms:W3CDTF">2016-05-27T16:03:00Z</dcterms:created>
  <dcterms:modified xsi:type="dcterms:W3CDTF">2016-06-22T15:50:00Z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