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DCE2E" w14:textId="07F18787" w:rsidR="00B32004" w:rsidRDefault="00B32004" w:rsidP="00B32004">
      <w:pPr>
        <w:spacing w:before="60" w:after="60"/>
        <w:ind w:firstLine="709"/>
        <w:jc w:val="both"/>
        <w:rPr>
          <w:rFonts w:ascii="Verdana" w:hAnsi="Verdana"/>
          <w:b/>
          <w:bCs/>
        </w:rPr>
      </w:pPr>
    </w:p>
    <w:p w14:paraId="57E8F4DF" w14:textId="1F06FD02" w:rsidR="004527AE" w:rsidRDefault="004527AE" w:rsidP="00B32004">
      <w:pPr>
        <w:spacing w:before="60" w:after="60"/>
        <w:ind w:firstLine="709"/>
        <w:jc w:val="both"/>
        <w:rPr>
          <w:rFonts w:ascii="Verdana" w:hAnsi="Verdana"/>
          <w:b/>
          <w:bCs/>
        </w:rPr>
      </w:pPr>
    </w:p>
    <w:p w14:paraId="6A250214" w14:textId="28CD96A1" w:rsidR="004527AE" w:rsidRDefault="004527AE" w:rsidP="00B32004">
      <w:pPr>
        <w:spacing w:before="60" w:after="60"/>
        <w:ind w:firstLine="709"/>
        <w:jc w:val="both"/>
        <w:rPr>
          <w:rFonts w:ascii="Verdana" w:hAnsi="Verdana"/>
          <w:b/>
          <w:bCs/>
        </w:rPr>
      </w:pPr>
    </w:p>
    <w:p w14:paraId="72185E66" w14:textId="77777777" w:rsidR="004527AE" w:rsidRDefault="004527AE" w:rsidP="00B32004">
      <w:pPr>
        <w:spacing w:before="60" w:after="60"/>
        <w:ind w:firstLine="709"/>
        <w:jc w:val="both"/>
        <w:rPr>
          <w:rFonts w:ascii="Verdana" w:hAnsi="Verdana"/>
          <w:b/>
          <w:bCs/>
        </w:rPr>
      </w:pPr>
    </w:p>
    <w:p w14:paraId="5E57824E" w14:textId="77777777" w:rsidR="00E83D7D" w:rsidRPr="00653A15" w:rsidRDefault="00E83D7D" w:rsidP="00E83D7D">
      <w:pPr>
        <w:ind w:right="141"/>
        <w:jc w:val="center"/>
        <w:rPr>
          <w:rFonts w:ascii="Verdana" w:hAnsi="Verdana"/>
        </w:rPr>
      </w:pPr>
      <w:r w:rsidRPr="00653A15">
        <w:rPr>
          <w:rFonts w:ascii="Verdana" w:hAnsi="Verdana"/>
          <w:b/>
          <w:bCs/>
        </w:rPr>
        <w:t>ISTITUTO NAZIONALE DELLA PREVIDENZA SOCIALE</w:t>
      </w:r>
    </w:p>
    <w:p w14:paraId="5E2EC66C" w14:textId="6CD461F7" w:rsidR="00E83D7D" w:rsidRPr="00653A15" w:rsidRDefault="00E83D7D" w:rsidP="00E83D7D">
      <w:pPr>
        <w:jc w:val="center"/>
        <w:rPr>
          <w:rFonts w:ascii="Verdana" w:hAnsi="Verdana"/>
        </w:rPr>
      </w:pPr>
      <w:r w:rsidRPr="00653A15">
        <w:rPr>
          <w:rFonts w:ascii="Verdana" w:hAnsi="Verdana"/>
        </w:rPr>
        <w:t xml:space="preserve">Direzione </w:t>
      </w:r>
      <w:sdt>
        <w:sdtPr>
          <w:rPr>
            <w:rFonts w:ascii="Verdana" w:hAnsi="Verdana"/>
          </w:rPr>
          <w:alias w:val="Selezionare tipologia determina"/>
          <w:tag w:val="Selezionare tipologia determina"/>
          <w:id w:val="-1960018652"/>
          <w:comboBox>
            <w:listItem w:value="Scegliere un elemento."/>
            <w:listItem w:displayText="Regionale Abruzzo" w:value="Regionale Abruzzo"/>
            <w:listItem w:displayText="Regionale Basilicata" w:value="Regionale Basilicata"/>
            <w:listItem w:displayText="Regionale Calabria" w:value="Regionale Calabria"/>
            <w:listItem w:displayText="Regionale Campania" w:value="Regionale Campania"/>
            <w:listItem w:displayText="Regionale Emilia Romagna" w:value="Regionale Emilia Romagna"/>
            <w:listItem w:displayText="Regionale Friuli Venezia Giulia" w:value="Regionale Friuli Venezia Giulia"/>
            <w:listItem w:displayText="Regionale Lazio" w:value="Regionale Lazio"/>
            <w:listItem w:displayText="Regionale Liguria" w:value="Regionale Liguria"/>
            <w:listItem w:displayText="Regionale Lombardia" w:value="Regionale Lombardia"/>
            <w:listItem w:displayText="Regionale Marche" w:value="Regionale Marche"/>
            <w:listItem w:displayText="Regionale Molise" w:value="Regionale Molise"/>
            <w:listItem w:displayText="Regionale Piemonte" w:value="Regionale Piemonte"/>
            <w:listItem w:displayText="Regionale Puglia" w:value="Regionale Puglia"/>
            <w:listItem w:displayText="Regionale Sardegna" w:value="Regionale Sardegna"/>
            <w:listItem w:displayText="Regionale Sicilia" w:value="Regionale Sicilia"/>
            <w:listItem w:displayText="Regionale Toscana" w:value="Regionale Toscana"/>
            <w:listItem w:displayText="Regionale Trentino Alto Adige" w:value="Regionale Trentino Alto Adige"/>
            <w:listItem w:displayText="Regionale Umbria" w:value="Regionale Umbria"/>
            <w:listItem w:displayText="Regionale Valle d'Aosta" w:value="Regionale Valle d'Aosta"/>
            <w:listItem w:displayText="Regionale Veneto" w:value="Regionale Veneto"/>
            <w:listItem w:displayText="Coordinamento metropolitano  Napoli" w:value="Coordinamento metropolitano  Napoli"/>
            <w:listItem w:displayText="Coordinamento metropolitano Milano" w:value="Coordinamento metropolitano Milano"/>
            <w:listItem w:displayText="Coordinamento metropolitano Roma " w:value="Coordinamento metropolitano Roma "/>
          </w:comboBox>
        </w:sdtPr>
        <w:sdtEndPr/>
        <w:sdtContent>
          <w:r w:rsidRPr="00653A15">
            <w:rPr>
              <w:rFonts w:ascii="Verdana" w:hAnsi="Verdana"/>
            </w:rPr>
            <w:t xml:space="preserve">Regionale </w:t>
          </w:r>
          <w:proofErr w:type="gramStart"/>
          <w:r w:rsidRPr="00653A15">
            <w:rPr>
              <w:rFonts w:ascii="Verdana" w:hAnsi="Verdana"/>
            </w:rPr>
            <w:t>Friuli</w:t>
          </w:r>
          <w:r w:rsidR="00542C37">
            <w:rPr>
              <w:rFonts w:ascii="Verdana" w:hAnsi="Verdana"/>
            </w:rPr>
            <w:t xml:space="preserve"> </w:t>
          </w:r>
          <w:r w:rsidRPr="00653A15">
            <w:rPr>
              <w:rFonts w:ascii="Verdana" w:hAnsi="Verdana"/>
            </w:rPr>
            <w:t xml:space="preserve"> Venezia</w:t>
          </w:r>
          <w:proofErr w:type="gramEnd"/>
          <w:r w:rsidR="00542C37">
            <w:rPr>
              <w:rFonts w:ascii="Verdana" w:hAnsi="Verdana"/>
            </w:rPr>
            <w:t xml:space="preserve"> </w:t>
          </w:r>
          <w:r w:rsidRPr="00653A15">
            <w:rPr>
              <w:rFonts w:ascii="Verdana" w:hAnsi="Verdana"/>
            </w:rPr>
            <w:t xml:space="preserve"> Giulia</w:t>
          </w:r>
        </w:sdtContent>
      </w:sdt>
    </w:p>
    <w:p w14:paraId="437F0024" w14:textId="4F8B4081" w:rsidR="00E83D7D" w:rsidRPr="00653A15" w:rsidRDefault="00E83D7D" w:rsidP="00E83D7D">
      <w:pPr>
        <w:ind w:right="282"/>
        <w:jc w:val="center"/>
        <w:rPr>
          <w:rFonts w:ascii="Verdana" w:hAnsi="Verdana"/>
          <w:b/>
          <w:bCs/>
        </w:rPr>
      </w:pPr>
      <w:r w:rsidRPr="00653A15">
        <w:rPr>
          <w:rFonts w:ascii="Verdana" w:hAnsi="Verdana"/>
          <w:b/>
          <w:bCs/>
        </w:rPr>
        <w:t>DETERMINAZIONE N. </w:t>
      </w:r>
      <w:r w:rsidR="003C588D">
        <w:rPr>
          <w:rFonts w:ascii="Verdana" w:hAnsi="Verdana"/>
          <w:b/>
          <w:bCs/>
        </w:rPr>
        <w:t>202 DEL</w:t>
      </w:r>
      <w:r w:rsidRPr="00653A15">
        <w:rPr>
          <w:rFonts w:ascii="Verdana" w:hAnsi="Verdana"/>
          <w:b/>
          <w:bCs/>
        </w:rPr>
        <w:t xml:space="preserve"> </w:t>
      </w:r>
      <w:r w:rsidR="003C588D">
        <w:rPr>
          <w:rFonts w:ascii="Verdana" w:hAnsi="Verdana"/>
          <w:b/>
          <w:bCs/>
        </w:rPr>
        <w:t>17</w:t>
      </w:r>
      <w:r w:rsidR="00542C37">
        <w:rPr>
          <w:rFonts w:ascii="Verdana" w:hAnsi="Verdana"/>
          <w:b/>
          <w:bCs/>
        </w:rPr>
        <w:t>.</w:t>
      </w:r>
      <w:r w:rsidRPr="00653A15">
        <w:rPr>
          <w:rFonts w:ascii="Verdana" w:hAnsi="Verdana"/>
          <w:b/>
          <w:bCs/>
        </w:rPr>
        <w:t>11.2020</w:t>
      </w:r>
    </w:p>
    <w:p w14:paraId="09224BC0" w14:textId="77777777" w:rsidR="009314DA" w:rsidRPr="00653A15" w:rsidRDefault="009314DA" w:rsidP="00E83D7D">
      <w:pPr>
        <w:ind w:right="282"/>
        <w:jc w:val="center"/>
        <w:rPr>
          <w:rFonts w:ascii="Verdana" w:hAnsi="Verdana"/>
          <w:b/>
          <w:bCs/>
        </w:rPr>
      </w:pPr>
    </w:p>
    <w:p w14:paraId="7A3535EC" w14:textId="77777777" w:rsidR="00E83D7D" w:rsidRPr="00653A15" w:rsidRDefault="00E83D7D" w:rsidP="00E83D7D">
      <w:pPr>
        <w:numPr>
          <w:ilvl w:val="0"/>
          <w:numId w:val="3"/>
        </w:numPr>
        <w:spacing w:after="0" w:line="240" w:lineRule="auto"/>
        <w:ind w:left="709" w:hanging="349"/>
        <w:contextualSpacing/>
        <w:rPr>
          <w:rFonts w:ascii="Verdana" w:hAnsi="Verdana"/>
        </w:rPr>
      </w:pPr>
      <w:r w:rsidRPr="00653A15">
        <w:rPr>
          <w:rFonts w:ascii="Verdana" w:hAnsi="Verdana"/>
          <w:b/>
          <w:bCs/>
        </w:rPr>
        <w:t>Tipologia di Determina</w:t>
      </w:r>
      <w:r w:rsidRPr="00653A15">
        <w:rPr>
          <w:rFonts w:ascii="Verdana" w:hAnsi="Verdana"/>
        </w:rPr>
        <w:t xml:space="preserve">   </w:t>
      </w:r>
      <w:sdt>
        <w:sdtPr>
          <w:rPr>
            <w:rFonts w:ascii="Verdana" w:hAnsi="Verdana"/>
          </w:rPr>
          <w:alias w:val="Selezionare tipologia determina"/>
          <w:tag w:val="Selezionare tipologia determina"/>
          <w:id w:val="-1391259780"/>
          <w:comboBox>
            <w:listItem w:displayText="Indizione gara" w:value="Indizione gara"/>
          </w:comboBox>
        </w:sdtPr>
        <w:sdtEndPr/>
        <w:sdtContent>
          <w:r w:rsidRPr="00653A15">
            <w:rPr>
              <w:rFonts w:ascii="Verdana" w:hAnsi="Verdana"/>
            </w:rPr>
            <w:t>Indizione gara</w:t>
          </w:r>
        </w:sdtContent>
      </w:sdt>
    </w:p>
    <w:p w14:paraId="66629E8F" w14:textId="77777777" w:rsidR="00E83D7D" w:rsidRPr="00EF598E" w:rsidRDefault="00E83D7D" w:rsidP="00E83D7D">
      <w:pPr>
        <w:spacing w:after="0" w:line="240" w:lineRule="auto"/>
        <w:ind w:left="709"/>
        <w:contextualSpacing/>
        <w:rPr>
          <w:rFonts w:ascii="Verdana" w:hAnsi="Verdana"/>
        </w:rPr>
      </w:pPr>
    </w:p>
    <w:p w14:paraId="7069CFA7" w14:textId="3FA93C68" w:rsidR="00E83D7D" w:rsidRPr="00EF598E" w:rsidRDefault="00E83D7D" w:rsidP="00E83D7D">
      <w:pPr>
        <w:numPr>
          <w:ilvl w:val="0"/>
          <w:numId w:val="3"/>
        </w:numPr>
        <w:spacing w:after="0" w:line="240" w:lineRule="auto"/>
        <w:ind w:left="709" w:hanging="349"/>
        <w:contextualSpacing/>
        <w:rPr>
          <w:rFonts w:ascii="Verdana" w:hAnsi="Verdana"/>
        </w:rPr>
      </w:pPr>
      <w:r w:rsidRPr="00EF598E">
        <w:rPr>
          <w:rFonts w:ascii="Verdana" w:hAnsi="Verdana"/>
          <w:b/>
          <w:bCs/>
        </w:rPr>
        <w:t>Numero Visto</w:t>
      </w:r>
      <w:r w:rsidRPr="00EF598E">
        <w:rPr>
          <w:rFonts w:ascii="Verdana" w:hAnsi="Verdana"/>
        </w:rPr>
        <w:t xml:space="preserve">   </w:t>
      </w:r>
      <w:sdt>
        <w:sdtPr>
          <w:rPr>
            <w:rFonts w:ascii="Verdana" w:hAnsi="Verdana"/>
          </w:rPr>
          <w:alias w:val="Inserire numero visto"/>
          <w:id w:val="-20170748"/>
          <w:text/>
        </w:sdtPr>
        <w:sdtEndPr/>
        <w:sdtContent>
          <w:r w:rsidRPr="00EF598E">
            <w:rPr>
              <w:rFonts w:ascii="Verdana" w:hAnsi="Verdana"/>
            </w:rPr>
            <w:t> </w:t>
          </w:r>
          <w:proofErr w:type="spellStart"/>
          <w:r w:rsidRPr="00EF598E">
            <w:rPr>
              <w:rFonts w:ascii="Verdana" w:hAnsi="Verdana"/>
            </w:rPr>
            <w:t>VISTO</w:t>
          </w:r>
          <w:proofErr w:type="spellEnd"/>
          <w:r w:rsidRPr="00EF598E">
            <w:rPr>
              <w:rFonts w:ascii="Verdana" w:hAnsi="Verdana"/>
            </w:rPr>
            <w:t xml:space="preserve"> 8580- 2020-V00</w:t>
          </w:r>
          <w:r w:rsidR="003C588D">
            <w:rPr>
              <w:rFonts w:ascii="Verdana" w:hAnsi="Verdana"/>
            </w:rPr>
            <w:t>94</w:t>
          </w:r>
        </w:sdtContent>
      </w:sdt>
    </w:p>
    <w:p w14:paraId="2650359A" w14:textId="77777777" w:rsidR="00E83D7D" w:rsidRPr="00EF598E" w:rsidRDefault="00E83D7D" w:rsidP="00E83D7D">
      <w:pPr>
        <w:spacing w:after="0" w:line="240" w:lineRule="auto"/>
        <w:ind w:left="720"/>
        <w:contextualSpacing/>
        <w:rPr>
          <w:rFonts w:ascii="Verdana" w:hAnsi="Verdana"/>
        </w:rPr>
      </w:pPr>
    </w:p>
    <w:p w14:paraId="6E251934" w14:textId="77777777" w:rsidR="00E83D7D" w:rsidRPr="00EF598E" w:rsidRDefault="00E83D7D" w:rsidP="00E83D7D">
      <w:pPr>
        <w:numPr>
          <w:ilvl w:val="0"/>
          <w:numId w:val="3"/>
        </w:numPr>
        <w:spacing w:after="0" w:line="240" w:lineRule="auto"/>
        <w:contextualSpacing/>
        <w:rPr>
          <w:rFonts w:ascii="Verdana" w:eastAsia="Times New Roman" w:hAnsi="Verdana"/>
        </w:rPr>
      </w:pPr>
      <w:r w:rsidRPr="00EF598E">
        <w:rPr>
          <w:rFonts w:ascii="Verdana" w:eastAsia="Times New Roman" w:hAnsi="Verdana"/>
          <w:b/>
          <w:bCs/>
        </w:rPr>
        <w:t>Settore</w:t>
      </w:r>
      <w:r w:rsidRPr="00EF598E">
        <w:rPr>
          <w:rFonts w:ascii="Verdana" w:eastAsia="Times New Roman" w:hAnsi="Verdana"/>
        </w:rPr>
        <w:t xml:space="preserve">   </w:t>
      </w:r>
      <w:sdt>
        <w:sdtPr>
          <w:rPr>
            <w:rFonts w:ascii="Verdana" w:eastAsia="Times New Roman" w:hAnsi="Verdana"/>
          </w:rPr>
          <w:alias w:val="Inserire settore"/>
          <w:tag w:val="Settore"/>
          <w:id w:val="1427999372"/>
          <w:comboBox>
            <w:listItem w:displayText="Lavori" w:value="Lavori"/>
          </w:comboBox>
        </w:sdtPr>
        <w:sdtEndPr/>
        <w:sdtContent>
          <w:r w:rsidRPr="00EF598E">
            <w:rPr>
              <w:rFonts w:ascii="Verdana" w:eastAsia="Times New Roman" w:hAnsi="Verdana"/>
            </w:rPr>
            <w:t>Lavori</w:t>
          </w:r>
        </w:sdtContent>
      </w:sdt>
    </w:p>
    <w:p w14:paraId="2044CBF1" w14:textId="77777777" w:rsidR="00E83D7D" w:rsidRPr="00EF598E" w:rsidRDefault="00E83D7D" w:rsidP="00E83D7D">
      <w:pPr>
        <w:spacing w:after="0" w:line="240" w:lineRule="auto"/>
        <w:ind w:left="720"/>
        <w:contextualSpacing/>
        <w:rPr>
          <w:rFonts w:ascii="Verdana" w:hAnsi="Verdana"/>
        </w:rPr>
      </w:pPr>
    </w:p>
    <w:p w14:paraId="0A508D55" w14:textId="77777777" w:rsidR="00E83D7D" w:rsidRPr="00EF598E" w:rsidRDefault="00E83D7D" w:rsidP="00E83D7D">
      <w:pPr>
        <w:numPr>
          <w:ilvl w:val="0"/>
          <w:numId w:val="3"/>
        </w:numPr>
        <w:spacing w:after="0" w:line="240" w:lineRule="auto"/>
        <w:contextualSpacing/>
        <w:jc w:val="both"/>
        <w:rPr>
          <w:rFonts w:ascii="Verdana" w:eastAsia="Times New Roman" w:hAnsi="Verdana"/>
        </w:rPr>
      </w:pPr>
      <w:r w:rsidRPr="00EF598E">
        <w:rPr>
          <w:rFonts w:ascii="Verdana" w:eastAsia="Times New Roman" w:hAnsi="Verdana"/>
          <w:b/>
          <w:bCs/>
        </w:rPr>
        <w:t>Oggetto:</w:t>
      </w:r>
      <w:r w:rsidRPr="00EF598E">
        <w:rPr>
          <w:rFonts w:ascii="Verdana" w:eastAsia="Times New Roman" w:hAnsi="Verdana"/>
        </w:rPr>
        <w:t xml:space="preserve">  </w:t>
      </w:r>
      <w:sdt>
        <w:sdtPr>
          <w:rPr>
            <w:rFonts w:ascii="Verdana" w:eastAsia="Times New Roman" w:hAnsi="Verdana"/>
          </w:rPr>
          <w:alias w:val="Inserire oggetto"/>
          <w:tag w:val="Oggetto"/>
          <w:id w:val="-14463836"/>
          <w:text/>
        </w:sdtPr>
        <w:sdtEndPr/>
        <w:sdtContent>
          <w:r w:rsidRPr="00EF598E">
            <w:rPr>
              <w:rFonts w:ascii="Verdana" w:eastAsia="Times New Roman" w:hAnsi="Verdana"/>
            </w:rPr>
            <w:t xml:space="preserve"> Accordo quadro per lavori di manutenzione e adeguamento degli </w:t>
          </w:r>
          <w:r>
            <w:rPr>
              <w:rFonts w:ascii="Verdana" w:eastAsia="Times New Roman" w:hAnsi="Verdana"/>
            </w:rPr>
            <w:t xml:space="preserve"> </w:t>
          </w:r>
          <w:r w:rsidRPr="00EF598E">
            <w:rPr>
              <w:rFonts w:ascii="Verdana" w:eastAsia="Times New Roman" w:hAnsi="Verdana"/>
            </w:rPr>
            <w:t xml:space="preserve"> </w:t>
          </w:r>
          <w:r>
            <w:rPr>
              <w:rFonts w:ascii="Verdana" w:eastAsia="Times New Roman" w:hAnsi="Verdana"/>
            </w:rPr>
            <w:t xml:space="preserve">impianti elettrici interni e speciali </w:t>
          </w:r>
          <w:r w:rsidRPr="00EF598E">
            <w:rPr>
              <w:rFonts w:ascii="Verdana" w:eastAsia="Times New Roman" w:hAnsi="Verdana"/>
            </w:rPr>
            <w:t>nello stabile da destinare a sede della Direzione Provinciale INPS di Trieste sito in via Lorenzo Ghiberti n. 4”.</w:t>
          </w:r>
        </w:sdtContent>
      </w:sdt>
    </w:p>
    <w:p w14:paraId="4F4AB2DF" w14:textId="77777777" w:rsidR="00E83D7D" w:rsidRPr="00EF598E" w:rsidRDefault="00E83D7D" w:rsidP="00E83D7D">
      <w:pPr>
        <w:ind w:left="720"/>
        <w:contextualSpacing/>
        <w:rPr>
          <w:rFonts w:ascii="Verdana" w:hAnsi="Verdana"/>
        </w:rPr>
      </w:pPr>
    </w:p>
    <w:p w14:paraId="7FBCE94D" w14:textId="77777777" w:rsidR="00E83D7D" w:rsidRPr="00EF598E" w:rsidRDefault="00E83D7D" w:rsidP="00E83D7D">
      <w:pPr>
        <w:numPr>
          <w:ilvl w:val="0"/>
          <w:numId w:val="3"/>
        </w:numPr>
        <w:spacing w:after="0" w:line="240" w:lineRule="auto"/>
        <w:contextualSpacing/>
        <w:rPr>
          <w:rFonts w:ascii="Verdana" w:eastAsia="Times New Roman" w:hAnsi="Verdana"/>
        </w:rPr>
      </w:pPr>
      <w:r w:rsidRPr="00EF598E">
        <w:rPr>
          <w:rFonts w:ascii="Verdana" w:eastAsia="Times New Roman" w:hAnsi="Verdana"/>
          <w:b/>
          <w:bCs/>
        </w:rPr>
        <w:t>Committente</w:t>
      </w:r>
      <w:r w:rsidRPr="00EF598E">
        <w:rPr>
          <w:rFonts w:ascii="Verdana" w:eastAsia="Times New Roman" w:hAnsi="Verdana"/>
        </w:rPr>
        <w:t xml:space="preserve">  </w:t>
      </w:r>
      <w:sdt>
        <w:sdtPr>
          <w:rPr>
            <w:rFonts w:ascii="Verdana" w:eastAsia="Times New Roman" w:hAnsi="Verdana"/>
          </w:rPr>
          <w:alias w:val="Inserire oggetto"/>
          <w:tag w:val="Oggetto"/>
          <w:id w:val="-436062769"/>
          <w:text/>
        </w:sdtPr>
        <w:sdtEndPr/>
        <w:sdtContent>
          <w:r w:rsidRPr="00EF598E">
            <w:rPr>
              <w:rFonts w:ascii="Verdana" w:eastAsia="Times New Roman" w:hAnsi="Verdana"/>
            </w:rPr>
            <w:t xml:space="preserve">Direzione Regionale INPS </w:t>
          </w:r>
          <w:proofErr w:type="gramStart"/>
          <w:r w:rsidRPr="00EF598E">
            <w:rPr>
              <w:rFonts w:ascii="Verdana" w:eastAsia="Times New Roman" w:hAnsi="Verdana"/>
            </w:rPr>
            <w:t>Friuli Venezia Giulia</w:t>
          </w:r>
          <w:proofErr w:type="gramEnd"/>
        </w:sdtContent>
      </w:sdt>
      <w:r w:rsidRPr="00EF598E">
        <w:rPr>
          <w:rFonts w:ascii="Verdana" w:eastAsia="Times New Roman" w:hAnsi="Verdana"/>
        </w:rPr>
        <w:t xml:space="preserve"> </w:t>
      </w:r>
    </w:p>
    <w:p w14:paraId="0D4F3C71" w14:textId="77777777" w:rsidR="00E83D7D" w:rsidRPr="00EF598E" w:rsidRDefault="00E83D7D" w:rsidP="00E83D7D">
      <w:pPr>
        <w:ind w:left="720"/>
        <w:contextualSpacing/>
        <w:rPr>
          <w:rFonts w:ascii="Verdana" w:hAnsi="Verdana"/>
        </w:rPr>
      </w:pPr>
    </w:p>
    <w:p w14:paraId="33CE6C21" w14:textId="77777777" w:rsidR="00E83D7D" w:rsidRPr="00EF598E" w:rsidRDefault="00E83D7D" w:rsidP="00E83D7D">
      <w:pPr>
        <w:numPr>
          <w:ilvl w:val="0"/>
          <w:numId w:val="3"/>
        </w:numPr>
        <w:spacing w:after="0" w:line="240" w:lineRule="auto"/>
        <w:contextualSpacing/>
        <w:rPr>
          <w:rFonts w:ascii="Verdana" w:eastAsia="Times New Roman" w:hAnsi="Verdana"/>
        </w:rPr>
      </w:pPr>
      <w:r w:rsidRPr="00EF598E">
        <w:rPr>
          <w:rFonts w:ascii="Verdana" w:eastAsia="Times New Roman" w:hAnsi="Verdana"/>
          <w:b/>
          <w:bCs/>
        </w:rPr>
        <w:t>Tipologia di procedura</w:t>
      </w:r>
      <w:r w:rsidRPr="00EF598E">
        <w:rPr>
          <w:rFonts w:ascii="Verdana" w:eastAsia="Times New Roman" w:hAnsi="Verdana"/>
        </w:rPr>
        <w:t xml:space="preserve">  </w:t>
      </w:r>
      <w:sdt>
        <w:sdtPr>
          <w:rPr>
            <w:rFonts w:ascii="Verdana" w:eastAsia="Times New Roman" w:hAnsi="Verdana"/>
          </w:rPr>
          <w:alias w:val="Inserire la tipolgia di procedura"/>
          <w:tag w:val="tipologia di procedura"/>
          <w:id w:val="-1683654237"/>
          <w:comboBox>
            <w:listItem w:displayText="P032 - RICHIESTA DI OFFERTA" w:value="P032 - RICHIESTA DI OFFERTA"/>
          </w:comboBox>
        </w:sdtPr>
        <w:sdtEndPr/>
        <w:sdtContent>
          <w:r w:rsidRPr="00EF598E">
            <w:rPr>
              <w:rFonts w:ascii="Verdana" w:eastAsia="Times New Roman" w:hAnsi="Verdana"/>
            </w:rPr>
            <w:t>P032 - RICHIESTA DI OFFERTA</w:t>
          </w:r>
        </w:sdtContent>
      </w:sdt>
    </w:p>
    <w:p w14:paraId="111706DB" w14:textId="77777777" w:rsidR="00E83D7D" w:rsidRPr="00EF598E" w:rsidRDefault="00E83D7D" w:rsidP="00E83D7D">
      <w:pPr>
        <w:spacing w:after="0" w:line="240" w:lineRule="auto"/>
        <w:ind w:left="720"/>
        <w:contextualSpacing/>
        <w:rPr>
          <w:rFonts w:ascii="Verdana" w:hAnsi="Verdana"/>
          <w:b/>
          <w:bCs/>
        </w:rPr>
      </w:pPr>
    </w:p>
    <w:p w14:paraId="3B6EC35F" w14:textId="77777777" w:rsidR="00E83D7D" w:rsidRPr="00EF598E" w:rsidRDefault="00E83D7D" w:rsidP="00E83D7D">
      <w:pPr>
        <w:numPr>
          <w:ilvl w:val="0"/>
          <w:numId w:val="3"/>
        </w:numPr>
        <w:spacing w:after="0" w:line="240" w:lineRule="auto"/>
        <w:contextualSpacing/>
        <w:rPr>
          <w:rFonts w:ascii="Verdana" w:eastAsia="Times New Roman" w:hAnsi="Verdana"/>
          <w:b/>
          <w:bCs/>
        </w:rPr>
      </w:pPr>
      <w:r w:rsidRPr="00EF598E">
        <w:rPr>
          <w:rFonts w:ascii="Verdana" w:eastAsia="Times New Roman" w:hAnsi="Verdana"/>
          <w:b/>
          <w:bCs/>
        </w:rPr>
        <w:t xml:space="preserve">Procedura e-procurement  </w:t>
      </w:r>
      <w:sdt>
        <w:sdtPr>
          <w:rPr>
            <w:rFonts w:ascii="Verdana" w:eastAsia="Times New Roman" w:hAnsi="Verdana"/>
          </w:rPr>
          <w:alias w:val="Inserire SI/NO"/>
          <w:tag w:val="SI/NO"/>
          <w:id w:val="-1964805132"/>
          <w:comboBox>
            <w:listItem w:value="Scegliere un elemento."/>
            <w:listItem w:displayText="SI" w:value="SI"/>
            <w:listItem w:displayText="NO" w:value="NO"/>
          </w:comboBox>
        </w:sdtPr>
        <w:sdtEndPr/>
        <w:sdtContent>
          <w:r w:rsidRPr="00EF598E">
            <w:rPr>
              <w:rFonts w:ascii="Verdana" w:eastAsia="Times New Roman" w:hAnsi="Verdana"/>
            </w:rPr>
            <w:t>NO</w:t>
          </w:r>
        </w:sdtContent>
      </w:sdt>
    </w:p>
    <w:p w14:paraId="2349D5C0" w14:textId="77777777" w:rsidR="00E83D7D" w:rsidRPr="00EF598E" w:rsidRDefault="00E83D7D" w:rsidP="00E83D7D">
      <w:pPr>
        <w:ind w:left="720"/>
        <w:contextualSpacing/>
        <w:rPr>
          <w:rFonts w:ascii="Verdana" w:hAnsi="Verdana"/>
          <w:b/>
          <w:bCs/>
        </w:rPr>
      </w:pPr>
    </w:p>
    <w:p w14:paraId="6299F01A" w14:textId="11BFD1C1" w:rsidR="00E83D7D" w:rsidRPr="00EF598E" w:rsidRDefault="00E83D7D" w:rsidP="00E83D7D">
      <w:pPr>
        <w:numPr>
          <w:ilvl w:val="0"/>
          <w:numId w:val="3"/>
        </w:numPr>
        <w:spacing w:after="0" w:line="240" w:lineRule="auto"/>
        <w:contextualSpacing/>
        <w:rPr>
          <w:rFonts w:ascii="Verdana" w:eastAsia="Times New Roman" w:hAnsi="Verdana"/>
        </w:rPr>
      </w:pPr>
      <w:proofErr w:type="gramStart"/>
      <w:r w:rsidRPr="00EF598E">
        <w:rPr>
          <w:rFonts w:ascii="Verdana" w:eastAsia="Times New Roman" w:hAnsi="Verdana"/>
          <w:b/>
          <w:bCs/>
        </w:rPr>
        <w:t>CIG</w:t>
      </w:r>
      <w:r w:rsidRPr="00EF598E">
        <w:rPr>
          <w:rFonts w:ascii="Verdana" w:eastAsia="Times New Roman" w:hAnsi="Verdana"/>
        </w:rPr>
        <w:t> </w:t>
      </w:r>
      <w:r w:rsidR="00400F17">
        <w:rPr>
          <w:rFonts w:ascii="Verdana" w:hAnsi="Verdana"/>
          <w:b/>
          <w:bCs/>
        </w:rPr>
        <w:t>:</w:t>
      </w:r>
      <w:proofErr w:type="gramEnd"/>
      <w:r w:rsidR="00400F17">
        <w:rPr>
          <w:rFonts w:ascii="Verdana" w:hAnsi="Verdana"/>
          <w:b/>
          <w:bCs/>
        </w:rPr>
        <w:t xml:space="preserve"> 8514279D4A</w:t>
      </w:r>
    </w:p>
    <w:p w14:paraId="469D0EFB" w14:textId="77777777" w:rsidR="00E83D7D" w:rsidRPr="00EF598E" w:rsidRDefault="00E83D7D" w:rsidP="00E83D7D">
      <w:pPr>
        <w:pStyle w:val="Paragrafoelenco"/>
        <w:rPr>
          <w:rFonts w:ascii="Verdana" w:hAnsi="Verdana"/>
        </w:rPr>
      </w:pPr>
    </w:p>
    <w:p w14:paraId="51DB623C" w14:textId="2B744029" w:rsidR="00400F17" w:rsidRDefault="00E83D7D" w:rsidP="00E83D7D">
      <w:pPr>
        <w:numPr>
          <w:ilvl w:val="0"/>
          <w:numId w:val="3"/>
        </w:numPr>
        <w:spacing w:after="0" w:line="240" w:lineRule="auto"/>
        <w:contextualSpacing/>
        <w:rPr>
          <w:rFonts w:ascii="Verdana" w:eastAsia="Times New Roman" w:hAnsi="Verdana"/>
        </w:rPr>
      </w:pPr>
      <w:r w:rsidRPr="00EF598E">
        <w:rPr>
          <w:rFonts w:ascii="Verdana" w:eastAsia="Times New Roman" w:hAnsi="Verdana"/>
          <w:b/>
          <w:bCs/>
        </w:rPr>
        <w:t>CUP</w:t>
      </w:r>
      <w:r w:rsidRPr="00EF598E">
        <w:rPr>
          <w:rFonts w:ascii="Verdana" w:eastAsia="Times New Roman" w:hAnsi="Verdana"/>
        </w:rPr>
        <w:t xml:space="preserve">   </w:t>
      </w:r>
      <w:sdt>
        <w:sdtPr>
          <w:rPr>
            <w:rFonts w:ascii="Verdana" w:hAnsi="Verdana"/>
            <w:b/>
            <w:bCs/>
          </w:rPr>
          <w:alias w:val="Inserire CUP"/>
          <w:tag w:val="Inserire CUP"/>
          <w:id w:val="-1042282126"/>
          <w:text/>
        </w:sdtPr>
        <w:sdtEndPr/>
        <w:sdtContent>
          <w:r w:rsidR="00AE0220" w:rsidRPr="00502DB0">
            <w:rPr>
              <w:rFonts w:ascii="Verdana" w:hAnsi="Verdana"/>
              <w:b/>
              <w:bCs/>
            </w:rPr>
            <w:t>F95E</w:t>
          </w:r>
          <w:proofErr w:type="gramStart"/>
          <w:r w:rsidR="00AE0220" w:rsidRPr="00502DB0">
            <w:rPr>
              <w:rFonts w:ascii="Verdana" w:hAnsi="Verdana"/>
              <w:b/>
              <w:bCs/>
            </w:rPr>
            <w:t>20000660005</w:t>
          </w:r>
          <w:r w:rsidR="00B056C8">
            <w:rPr>
              <w:rFonts w:ascii="Verdana" w:hAnsi="Verdana"/>
              <w:b/>
              <w:bCs/>
            </w:rPr>
            <w:t xml:space="preserve"> </w:t>
          </w:r>
          <w:r w:rsidR="00AE0220">
            <w:rPr>
              <w:rFonts w:ascii="Verdana" w:hAnsi="Verdana"/>
              <w:b/>
              <w:bCs/>
            </w:rPr>
            <w:t xml:space="preserve"> </w:t>
          </w:r>
          <w:r w:rsidR="00AE0220" w:rsidRPr="00443563">
            <w:rPr>
              <w:rFonts w:ascii="Verdana" w:hAnsi="Verdana"/>
              <w:b/>
              <w:bCs/>
            </w:rPr>
            <w:t>PTL</w:t>
          </w:r>
          <w:proofErr w:type="gramEnd"/>
          <w:r w:rsidR="00AE0220" w:rsidRPr="00443563">
            <w:rPr>
              <w:rFonts w:ascii="Verdana" w:hAnsi="Verdana"/>
              <w:b/>
              <w:bCs/>
            </w:rPr>
            <w:t xml:space="preserve"> 2020-01-FVG-0022.</w:t>
          </w:r>
        </w:sdtContent>
      </w:sdt>
    </w:p>
    <w:p w14:paraId="63C696A8" w14:textId="77777777" w:rsidR="00400F17" w:rsidRDefault="00400F17" w:rsidP="00400F17">
      <w:pPr>
        <w:pStyle w:val="Paragrafoelenco"/>
        <w:rPr>
          <w:rFonts w:ascii="Verdana" w:eastAsia="Times New Roman" w:hAnsi="Verdana"/>
        </w:rPr>
      </w:pPr>
    </w:p>
    <w:bookmarkStart w:id="0" w:name="_Hlk39141076"/>
    <w:p w14:paraId="6A7275CB" w14:textId="77777777" w:rsidR="00E83D7D" w:rsidRPr="00EF598E" w:rsidRDefault="00090A04" w:rsidP="00E83D7D">
      <w:pPr>
        <w:numPr>
          <w:ilvl w:val="0"/>
          <w:numId w:val="3"/>
        </w:numPr>
        <w:spacing w:after="0" w:line="240" w:lineRule="auto"/>
        <w:contextualSpacing/>
        <w:jc w:val="both"/>
        <w:rPr>
          <w:rFonts w:ascii="Verdana" w:eastAsia="Times New Roman" w:hAnsi="Verdana"/>
        </w:rPr>
      </w:pPr>
      <w:sdt>
        <w:sdtPr>
          <w:rPr>
            <w:rFonts w:ascii="Verdana" w:eastAsia="Times New Roman" w:hAnsi="Verdana"/>
          </w:rPr>
          <w:alias w:val="Inserire codice della Proposta di gara"/>
          <w:tag w:val="Inserire codice della Proposta di gara"/>
          <w:id w:val="753324637"/>
          <w:text/>
        </w:sdtPr>
        <w:sdtEndPr/>
        <w:sdtContent>
          <w:r w:rsidR="00E83D7D" w:rsidRPr="00EF598E">
            <w:rPr>
              <w:rFonts w:ascii="Verdana" w:eastAsia="Times New Roman" w:hAnsi="Verdana"/>
            </w:rPr>
            <w:t xml:space="preserve"> Procedura negoziata ex art. 1 -comma 2- lett. b) del D.L. n. 76 del 16 luglio 2020 convertito con Legge n. 120/2020 e d.lgs. 50/2016 </w:t>
          </w:r>
          <w:proofErr w:type="spellStart"/>
          <w:r w:rsidR="00E83D7D" w:rsidRPr="00EF598E">
            <w:rPr>
              <w:rFonts w:ascii="Verdana" w:eastAsia="Times New Roman" w:hAnsi="Verdana"/>
            </w:rPr>
            <w:t>ss.mm.ii</w:t>
          </w:r>
          <w:proofErr w:type="spellEnd"/>
          <w:r w:rsidR="00E83D7D" w:rsidRPr="00EF598E">
            <w:rPr>
              <w:rFonts w:ascii="Verdana" w:eastAsia="Times New Roman" w:hAnsi="Verdana"/>
            </w:rPr>
            <w:t xml:space="preserve">. </w:t>
          </w:r>
          <w:proofErr w:type="gramStart"/>
          <w:r w:rsidR="00E83D7D" w:rsidRPr="00EF598E">
            <w:rPr>
              <w:rFonts w:ascii="Verdana" w:eastAsia="Times New Roman" w:hAnsi="Verdana"/>
            </w:rPr>
            <w:t>mediante  RDO</w:t>
          </w:r>
          <w:proofErr w:type="gramEnd"/>
          <w:r w:rsidR="00E83D7D" w:rsidRPr="00EF598E">
            <w:rPr>
              <w:rFonts w:ascii="Verdana" w:eastAsia="Times New Roman" w:hAnsi="Verdana"/>
            </w:rPr>
            <w:t xml:space="preserve"> sul Mercato Elettronico delle Pubbliche Amministrazioni, finalizzata alla stipulazione di un Accordo Quadro, ai sensi dell’articolo 54, comma 3, del Codice dei contratti pubblici.</w:t>
          </w:r>
        </w:sdtContent>
      </w:sdt>
      <w:bookmarkEnd w:id="0"/>
    </w:p>
    <w:p w14:paraId="441DE561" w14:textId="77777777" w:rsidR="00E83D7D" w:rsidRPr="00EF598E" w:rsidRDefault="00E83D7D" w:rsidP="00E83D7D">
      <w:pPr>
        <w:spacing w:after="0" w:line="240" w:lineRule="auto"/>
        <w:ind w:left="720"/>
        <w:contextualSpacing/>
        <w:rPr>
          <w:rFonts w:ascii="Verdana" w:hAnsi="Verdana"/>
        </w:rPr>
      </w:pPr>
    </w:p>
    <w:p w14:paraId="49F5A503" w14:textId="0DAD497B" w:rsidR="00E83D7D" w:rsidRPr="00EF598E" w:rsidRDefault="00E83D7D" w:rsidP="00E83D7D">
      <w:pPr>
        <w:numPr>
          <w:ilvl w:val="0"/>
          <w:numId w:val="3"/>
        </w:numPr>
        <w:spacing w:after="0" w:line="240" w:lineRule="auto"/>
        <w:contextualSpacing/>
        <w:rPr>
          <w:rFonts w:ascii="Verdana" w:eastAsia="Times New Roman" w:hAnsi="Verdana"/>
        </w:rPr>
      </w:pPr>
      <w:r w:rsidRPr="00EF598E">
        <w:rPr>
          <w:rFonts w:ascii="Verdana" w:eastAsia="Times New Roman" w:hAnsi="Verdana"/>
          <w:b/>
          <w:bCs/>
        </w:rPr>
        <w:t>Importo complessivo</w:t>
      </w:r>
      <w:r w:rsidRPr="00EF598E">
        <w:rPr>
          <w:rFonts w:ascii="Verdana" w:eastAsia="Times New Roman" w:hAnsi="Verdana"/>
        </w:rPr>
        <w:t xml:space="preserve"> (IVA </w:t>
      </w:r>
      <w:proofErr w:type="gramStart"/>
      <w:r w:rsidRPr="00EF598E">
        <w:rPr>
          <w:rFonts w:ascii="Verdana" w:eastAsia="Times New Roman" w:hAnsi="Verdana"/>
        </w:rPr>
        <w:t xml:space="preserve">esclusa)   </w:t>
      </w:r>
      <w:proofErr w:type="gramEnd"/>
      <w:sdt>
        <w:sdtPr>
          <w:rPr>
            <w:rFonts w:ascii="Verdana" w:eastAsia="Times New Roman" w:hAnsi="Verdana"/>
          </w:rPr>
          <w:alias w:val="Da compilare con valore di indizione / aggiudicazione"/>
          <w:tag w:val="Da compilare con valore di indizione / aggiudicazione"/>
          <w:id w:val="2024749919"/>
          <w:text/>
        </w:sdtPr>
        <w:sdtEndPr/>
        <w:sdtContent>
          <w:r w:rsidRPr="00EF598E">
            <w:rPr>
              <w:rFonts w:ascii="Verdana" w:eastAsia="Times New Roman" w:hAnsi="Verdana"/>
            </w:rPr>
            <w:t> </w:t>
          </w:r>
          <w:r>
            <w:rPr>
              <w:rFonts w:ascii="Verdana" w:eastAsia="Times New Roman" w:hAnsi="Verdana"/>
            </w:rPr>
            <w:t xml:space="preserve"> </w:t>
          </w:r>
          <w:r w:rsidRPr="00EF598E">
            <w:rPr>
              <w:rFonts w:ascii="Verdana" w:eastAsia="Times New Roman" w:hAnsi="Verdana"/>
            </w:rPr>
            <w:t>€</w:t>
          </w:r>
          <w:r w:rsidR="000F65A6">
            <w:rPr>
              <w:rFonts w:ascii="Verdana" w:eastAsia="Times New Roman" w:hAnsi="Verdana"/>
            </w:rPr>
            <w:t xml:space="preserve"> </w:t>
          </w:r>
        </w:sdtContent>
      </w:sdt>
      <w:r w:rsidR="000F65A6">
        <w:rPr>
          <w:rFonts w:ascii="Verdana" w:hAnsi="Verdana"/>
          <w:sz w:val="20"/>
          <w:szCs w:val="20"/>
          <w:lang w:eastAsia="it-IT"/>
        </w:rPr>
        <w:t>339.160,00</w:t>
      </w:r>
    </w:p>
    <w:p w14:paraId="6FC837B5" w14:textId="77777777" w:rsidR="00E83D7D" w:rsidRPr="00EF598E" w:rsidRDefault="00E83D7D" w:rsidP="00E83D7D">
      <w:pPr>
        <w:ind w:left="720"/>
        <w:contextualSpacing/>
        <w:rPr>
          <w:rFonts w:ascii="Verdana" w:hAnsi="Verdana"/>
        </w:rPr>
      </w:pPr>
    </w:p>
    <w:p w14:paraId="6F0E0FDD" w14:textId="3ACBC727" w:rsidR="00E83D7D" w:rsidRPr="00EF598E" w:rsidRDefault="00E83D7D" w:rsidP="00E83D7D">
      <w:pPr>
        <w:numPr>
          <w:ilvl w:val="0"/>
          <w:numId w:val="3"/>
        </w:numPr>
        <w:spacing w:after="0" w:line="240" w:lineRule="auto"/>
        <w:contextualSpacing/>
        <w:rPr>
          <w:rFonts w:ascii="Verdana" w:eastAsia="Times New Roman" w:hAnsi="Verdana"/>
        </w:rPr>
      </w:pPr>
      <w:r w:rsidRPr="00EF598E">
        <w:rPr>
          <w:rFonts w:ascii="Verdana" w:eastAsia="Times New Roman" w:hAnsi="Verdana"/>
          <w:b/>
          <w:bCs/>
        </w:rPr>
        <w:t>Importo complessivo</w:t>
      </w:r>
      <w:r w:rsidRPr="00EF598E">
        <w:rPr>
          <w:rFonts w:ascii="Verdana" w:eastAsia="Times New Roman" w:hAnsi="Verdana"/>
        </w:rPr>
        <w:t xml:space="preserve"> (IVA </w:t>
      </w:r>
      <w:proofErr w:type="gramStart"/>
      <w:r w:rsidRPr="00EF598E">
        <w:rPr>
          <w:rFonts w:ascii="Verdana" w:eastAsia="Times New Roman" w:hAnsi="Verdana"/>
        </w:rPr>
        <w:t xml:space="preserve">inclusa)   </w:t>
      </w:r>
      <w:proofErr w:type="gramEnd"/>
      <w:sdt>
        <w:sdtPr>
          <w:rPr>
            <w:rFonts w:ascii="Verdana" w:hAnsi="Verdana"/>
            <w:sz w:val="20"/>
            <w:szCs w:val="20"/>
            <w:lang w:eastAsia="it-IT"/>
          </w:rPr>
          <w:alias w:val="Da compilare con valore di indizione / aggiudicazione"/>
          <w:tag w:val="Da compilare con valore di indizione / aggiudicazione"/>
          <w:id w:val="506641759"/>
          <w:text/>
        </w:sdtPr>
        <w:sdtEndPr/>
        <w:sdtContent>
          <w:r w:rsidR="002063EA" w:rsidRPr="002063EA">
            <w:rPr>
              <w:rFonts w:ascii="Verdana" w:hAnsi="Verdana"/>
              <w:sz w:val="20"/>
              <w:szCs w:val="20"/>
              <w:lang w:eastAsia="it-IT"/>
            </w:rPr>
            <w:t>   €</w:t>
          </w:r>
          <w:r w:rsidR="002063EA">
            <w:rPr>
              <w:rFonts w:ascii="Verdana" w:hAnsi="Verdana"/>
              <w:sz w:val="20"/>
              <w:szCs w:val="20"/>
              <w:lang w:eastAsia="it-IT"/>
            </w:rPr>
            <w:t xml:space="preserve"> </w:t>
          </w:r>
          <w:r w:rsidR="002063EA" w:rsidRPr="002063EA">
            <w:rPr>
              <w:rFonts w:ascii="Verdana" w:hAnsi="Verdana"/>
              <w:sz w:val="20"/>
              <w:szCs w:val="20"/>
              <w:lang w:eastAsia="it-IT"/>
            </w:rPr>
            <w:t>278.000,00</w:t>
          </w:r>
        </w:sdtContent>
      </w:sdt>
    </w:p>
    <w:p w14:paraId="09838DE5" w14:textId="77777777" w:rsidR="00E83D7D" w:rsidRPr="00EF598E" w:rsidRDefault="00E83D7D" w:rsidP="00E83D7D">
      <w:pPr>
        <w:spacing w:after="0" w:line="240" w:lineRule="auto"/>
        <w:ind w:left="720"/>
        <w:contextualSpacing/>
        <w:rPr>
          <w:rFonts w:ascii="Verdana" w:hAnsi="Verdana"/>
        </w:rPr>
      </w:pPr>
    </w:p>
    <w:p w14:paraId="16E7405E" w14:textId="77777777" w:rsidR="00E83D7D" w:rsidRPr="00EF598E" w:rsidRDefault="00E83D7D" w:rsidP="00E83D7D">
      <w:pPr>
        <w:numPr>
          <w:ilvl w:val="0"/>
          <w:numId w:val="3"/>
        </w:numPr>
        <w:spacing w:after="0" w:line="240" w:lineRule="auto"/>
        <w:contextualSpacing/>
        <w:rPr>
          <w:rFonts w:ascii="Verdana" w:eastAsia="Times New Roman" w:hAnsi="Verdana"/>
        </w:rPr>
      </w:pPr>
      <w:r w:rsidRPr="00EF598E">
        <w:rPr>
          <w:rFonts w:ascii="Verdana" w:eastAsia="Times New Roman" w:hAnsi="Verdana"/>
          <w:b/>
          <w:bCs/>
        </w:rPr>
        <w:t>RUP</w:t>
      </w:r>
      <w:r w:rsidRPr="00EF598E">
        <w:rPr>
          <w:rFonts w:ascii="Verdana" w:eastAsia="Times New Roman" w:hAnsi="Verdana"/>
        </w:rPr>
        <w:t xml:space="preserve">   </w:t>
      </w:r>
      <w:sdt>
        <w:sdtPr>
          <w:rPr>
            <w:rFonts w:ascii="Verdana" w:eastAsia="Times New Roman" w:hAnsi="Verdana"/>
          </w:rPr>
          <w:alias w:val="Inserire nome e cognome RUP"/>
          <w:tag w:val="Inserire nome e cognome RUP"/>
          <w:id w:val="-1724898443"/>
          <w:text/>
        </w:sdtPr>
        <w:sdtEndPr/>
        <w:sdtContent>
          <w:r w:rsidRPr="00EF598E">
            <w:rPr>
              <w:rFonts w:ascii="Verdana" w:eastAsia="Times New Roman" w:hAnsi="Verdana"/>
            </w:rPr>
            <w:t>Arch. Dario Luciani</w:t>
          </w:r>
        </w:sdtContent>
      </w:sdt>
    </w:p>
    <w:p w14:paraId="409D1623" w14:textId="77777777" w:rsidR="00E83D7D" w:rsidRPr="00EF598E" w:rsidRDefault="00E83D7D" w:rsidP="00E83D7D">
      <w:pPr>
        <w:rPr>
          <w:rFonts w:ascii="Verdana" w:hAnsi="Verdana"/>
        </w:rPr>
      </w:pPr>
    </w:p>
    <w:p w14:paraId="65671B33" w14:textId="77777777" w:rsidR="00E83D7D" w:rsidRPr="00EF598E" w:rsidRDefault="00E83D7D" w:rsidP="00E83D7D">
      <w:pPr>
        <w:numPr>
          <w:ilvl w:val="0"/>
          <w:numId w:val="3"/>
        </w:numPr>
        <w:spacing w:after="0" w:line="240" w:lineRule="auto"/>
        <w:contextualSpacing/>
        <w:rPr>
          <w:rFonts w:ascii="Verdana" w:eastAsia="Times New Roman" w:hAnsi="Verdana"/>
        </w:rPr>
      </w:pPr>
      <w:r w:rsidRPr="00EF598E">
        <w:rPr>
          <w:rFonts w:ascii="Verdana" w:eastAsia="Times New Roman" w:hAnsi="Verdana"/>
          <w:b/>
          <w:bCs/>
        </w:rPr>
        <w:t>Fornitore Aggiudicatario</w:t>
      </w:r>
      <w:r w:rsidRPr="00EF598E">
        <w:rPr>
          <w:rFonts w:ascii="Verdana" w:eastAsia="Times New Roman" w:hAnsi="Verdana"/>
        </w:rPr>
        <w:t xml:space="preserve">   </w:t>
      </w:r>
      <w:sdt>
        <w:sdtPr>
          <w:rPr>
            <w:rFonts w:ascii="Verdana" w:eastAsia="Times New Roman" w:hAnsi="Verdana"/>
          </w:rPr>
          <w:alias w:val="Inserire ragione sociale del fornitore"/>
          <w:tag w:val="Inserire ragione sociale del fornitore"/>
          <w:id w:val="-1773316219"/>
          <w:text/>
        </w:sdtPr>
        <w:sdtEndPr/>
        <w:sdtContent>
          <w:r w:rsidRPr="00EF598E">
            <w:rPr>
              <w:rFonts w:ascii="Verdana" w:eastAsia="Times New Roman" w:hAnsi="Verdana"/>
            </w:rPr>
            <w:t>Da definire</w:t>
          </w:r>
        </w:sdtContent>
      </w:sdt>
    </w:p>
    <w:p w14:paraId="3F8B4F3D" w14:textId="77777777" w:rsidR="00E83D7D" w:rsidRPr="00EF598E" w:rsidRDefault="00E83D7D" w:rsidP="00E83D7D">
      <w:pPr>
        <w:rPr>
          <w:rFonts w:ascii="Verdana" w:hAnsi="Verdana"/>
        </w:rPr>
      </w:pPr>
    </w:p>
    <w:p w14:paraId="5E6BBD96" w14:textId="77777777" w:rsidR="00E83D7D" w:rsidRPr="00EF598E" w:rsidRDefault="00E83D7D" w:rsidP="00E83D7D">
      <w:pPr>
        <w:spacing w:before="120"/>
        <w:ind w:right="141"/>
        <w:jc w:val="center"/>
        <w:rPr>
          <w:rFonts w:ascii="Verdana" w:hAnsi="Verdana"/>
          <w:b/>
          <w:bCs/>
        </w:rPr>
      </w:pPr>
    </w:p>
    <w:p w14:paraId="665508F1" w14:textId="77777777" w:rsidR="00E83D7D" w:rsidRPr="003B02FB" w:rsidRDefault="00E83D7D" w:rsidP="00E83D7D">
      <w:pPr>
        <w:spacing w:before="120"/>
        <w:ind w:right="141"/>
        <w:jc w:val="center"/>
        <w:rPr>
          <w:rFonts w:ascii="Verdana" w:hAnsi="Verdana"/>
          <w:b/>
          <w:bCs/>
          <w:color w:val="FF0000"/>
        </w:rPr>
      </w:pPr>
    </w:p>
    <w:p w14:paraId="67450381" w14:textId="77777777" w:rsidR="00E83D7D" w:rsidRPr="003B02FB" w:rsidRDefault="00E83D7D" w:rsidP="00E83D7D">
      <w:pPr>
        <w:spacing w:before="120"/>
        <w:ind w:right="141"/>
        <w:jc w:val="center"/>
        <w:rPr>
          <w:rFonts w:ascii="Verdana" w:hAnsi="Verdana"/>
          <w:b/>
          <w:bCs/>
          <w:color w:val="FF0000"/>
        </w:rPr>
      </w:pPr>
    </w:p>
    <w:p w14:paraId="040425B1" w14:textId="2DB6C51A" w:rsidR="00E83D7D" w:rsidRPr="00653A15" w:rsidRDefault="00D55C69" w:rsidP="00E83D7D">
      <w:pPr>
        <w:spacing w:before="120"/>
        <w:ind w:right="141"/>
        <w:jc w:val="center"/>
        <w:rPr>
          <w:rFonts w:ascii="Verdana" w:hAnsi="Verdana"/>
          <w:b/>
          <w:bCs/>
          <w:color w:val="000000" w:themeColor="text1"/>
        </w:rPr>
      </w:pPr>
      <w:r w:rsidRPr="00653A15">
        <w:rPr>
          <w:rFonts w:ascii="Verdana" w:hAnsi="Verdana"/>
          <w:b/>
          <w:bCs/>
          <w:color w:val="000000" w:themeColor="text1"/>
        </w:rPr>
        <w:t>INPS</w:t>
      </w:r>
    </w:p>
    <w:p w14:paraId="57B45501" w14:textId="74812AE5" w:rsidR="00D55C69" w:rsidRPr="00653A15" w:rsidRDefault="00D55C69" w:rsidP="00E83D7D">
      <w:pPr>
        <w:spacing w:before="120"/>
        <w:ind w:right="141"/>
        <w:jc w:val="center"/>
        <w:rPr>
          <w:rFonts w:ascii="Verdana" w:hAnsi="Verdana"/>
          <w:b/>
          <w:bCs/>
          <w:color w:val="000000" w:themeColor="text1"/>
        </w:rPr>
      </w:pPr>
      <w:r w:rsidRPr="00653A15">
        <w:rPr>
          <w:rFonts w:ascii="Verdana" w:hAnsi="Verdana"/>
          <w:b/>
          <w:bCs/>
          <w:color w:val="000000" w:themeColor="text1"/>
        </w:rPr>
        <w:t xml:space="preserve">DIREZIONE </w:t>
      </w:r>
      <w:r w:rsidR="00B47D92" w:rsidRPr="00653A15">
        <w:rPr>
          <w:rFonts w:ascii="Verdana" w:hAnsi="Verdana"/>
          <w:b/>
          <w:bCs/>
          <w:color w:val="000000" w:themeColor="text1"/>
        </w:rPr>
        <w:t xml:space="preserve">REGIONALE INPS FRIULI VENEZIA GIULIA </w:t>
      </w:r>
    </w:p>
    <w:p w14:paraId="1A578E4D" w14:textId="62216AB8" w:rsidR="00B47D92" w:rsidRPr="00B47D92" w:rsidRDefault="00B47D92" w:rsidP="00E83D7D">
      <w:pPr>
        <w:spacing w:before="120"/>
        <w:ind w:right="141"/>
        <w:jc w:val="center"/>
        <w:rPr>
          <w:rFonts w:ascii="Verdana" w:hAnsi="Verdana"/>
          <w:b/>
          <w:bCs/>
          <w:color w:val="000000" w:themeColor="text1"/>
        </w:rPr>
      </w:pPr>
      <w:r w:rsidRPr="00653A15">
        <w:rPr>
          <w:rFonts w:ascii="Verdana" w:hAnsi="Verdana"/>
          <w:b/>
          <w:bCs/>
          <w:color w:val="000000" w:themeColor="text1"/>
        </w:rPr>
        <w:t xml:space="preserve">DETERMINAZIONE N. </w:t>
      </w:r>
      <w:r w:rsidR="006D65C5">
        <w:rPr>
          <w:rFonts w:ascii="Verdana" w:hAnsi="Verdana"/>
          <w:b/>
          <w:bCs/>
          <w:color w:val="000000" w:themeColor="text1"/>
        </w:rPr>
        <w:t>20</w:t>
      </w:r>
      <w:r w:rsidR="003C2BE2">
        <w:rPr>
          <w:rFonts w:ascii="Verdana" w:hAnsi="Verdana"/>
          <w:b/>
          <w:bCs/>
          <w:color w:val="000000" w:themeColor="text1"/>
        </w:rPr>
        <w:t>2</w:t>
      </w:r>
      <w:bookmarkStart w:id="1" w:name="_GoBack"/>
      <w:bookmarkEnd w:id="1"/>
      <w:r w:rsidR="00542C37">
        <w:rPr>
          <w:rFonts w:ascii="Verdana" w:hAnsi="Verdana"/>
          <w:b/>
          <w:bCs/>
          <w:color w:val="000000" w:themeColor="text1"/>
        </w:rPr>
        <w:t xml:space="preserve"> </w:t>
      </w:r>
      <w:r w:rsidRPr="00653A15">
        <w:rPr>
          <w:rFonts w:ascii="Verdana" w:hAnsi="Verdana"/>
          <w:b/>
          <w:bCs/>
          <w:color w:val="000000" w:themeColor="text1"/>
        </w:rPr>
        <w:t xml:space="preserve">DEL </w:t>
      </w:r>
      <w:r w:rsidR="006D65C5">
        <w:rPr>
          <w:rFonts w:ascii="Verdana" w:hAnsi="Verdana"/>
          <w:b/>
          <w:bCs/>
          <w:color w:val="000000" w:themeColor="text1"/>
        </w:rPr>
        <w:t>17</w:t>
      </w:r>
      <w:r w:rsidRPr="00653A15">
        <w:rPr>
          <w:rFonts w:ascii="Verdana" w:hAnsi="Verdana"/>
          <w:b/>
          <w:bCs/>
          <w:color w:val="000000" w:themeColor="text1"/>
        </w:rPr>
        <w:t>.11.2020</w:t>
      </w:r>
      <w:r>
        <w:rPr>
          <w:rFonts w:ascii="Verdana" w:hAnsi="Verdana"/>
          <w:b/>
          <w:bCs/>
          <w:color w:val="000000" w:themeColor="text1"/>
        </w:rPr>
        <w:t xml:space="preserve"> </w:t>
      </w:r>
    </w:p>
    <w:p w14:paraId="56410EE5" w14:textId="72952636" w:rsidR="00B32004" w:rsidRDefault="00B32004" w:rsidP="00B32004">
      <w:pPr>
        <w:spacing w:before="60" w:after="60"/>
        <w:jc w:val="center"/>
        <w:rPr>
          <w:rFonts w:ascii="Verdana" w:hAnsi="Verdana"/>
          <w:b/>
          <w:bCs/>
        </w:rPr>
      </w:pPr>
    </w:p>
    <w:p w14:paraId="18E53E69" w14:textId="77777777" w:rsidR="00B32004" w:rsidRDefault="00B32004" w:rsidP="00B32004">
      <w:pPr>
        <w:spacing w:before="60" w:after="60"/>
        <w:jc w:val="center"/>
        <w:rPr>
          <w:rFonts w:ascii="Verdana" w:hAnsi="Verdana"/>
          <w:b/>
          <w:bCs/>
        </w:rPr>
      </w:pPr>
    </w:p>
    <w:p w14:paraId="2D98061B" w14:textId="667C1AD6" w:rsidR="00B32004" w:rsidRDefault="00B32004" w:rsidP="00B32004">
      <w:pPr>
        <w:spacing w:before="120"/>
        <w:ind w:left="709"/>
        <w:jc w:val="both"/>
        <w:rPr>
          <w:rFonts w:ascii="Verdana" w:hAnsi="Verdana"/>
        </w:rPr>
      </w:pPr>
      <w:r>
        <w:rPr>
          <w:rFonts w:ascii="Verdana" w:hAnsi="Verdana"/>
          <w:b/>
          <w:bCs/>
        </w:rPr>
        <w:t>OGGETTO</w:t>
      </w:r>
      <w:r>
        <w:rPr>
          <w:rFonts w:ascii="Verdana" w:hAnsi="Verdana"/>
        </w:rPr>
        <w:t xml:space="preserve">: “Accordo quadro per lavori di manutenzione e adeguamento </w:t>
      </w:r>
      <w:bookmarkStart w:id="2" w:name="_Hlk56069633"/>
      <w:r>
        <w:rPr>
          <w:rFonts w:ascii="Verdana" w:hAnsi="Verdana"/>
        </w:rPr>
        <w:t xml:space="preserve">degli impianti interni elettrici e speciali </w:t>
      </w:r>
      <w:bookmarkEnd w:id="2"/>
      <w:r>
        <w:rPr>
          <w:rFonts w:ascii="Verdana" w:hAnsi="Verdana"/>
        </w:rPr>
        <w:t xml:space="preserve">nello stabile da destinare a sede della Direzione Provinciale INPS di Trieste sito in via Lorenzo Ghiberti n. 4”. </w:t>
      </w:r>
    </w:p>
    <w:p w14:paraId="3C2F09FC" w14:textId="77777777" w:rsidR="00B32004" w:rsidRDefault="00B32004" w:rsidP="00B32004">
      <w:pPr>
        <w:spacing w:before="120"/>
        <w:ind w:left="709"/>
        <w:jc w:val="both"/>
        <w:rPr>
          <w:rFonts w:ascii="Verdana" w:hAnsi="Verdana"/>
          <w:b/>
          <w:bCs/>
        </w:rPr>
      </w:pPr>
      <w:r>
        <w:rPr>
          <w:rFonts w:ascii="Verdana" w:hAnsi="Verdana"/>
          <w:b/>
          <w:bCs/>
        </w:rPr>
        <w:t>CIG: 8514279D4A - CUP: F95E20000660005. PTL 2020-01-FVG-0022.</w:t>
      </w:r>
    </w:p>
    <w:p w14:paraId="739EC9A8" w14:textId="77777777" w:rsidR="00B32004" w:rsidRDefault="00B32004" w:rsidP="00B32004">
      <w:pPr>
        <w:spacing w:before="120"/>
        <w:ind w:left="709"/>
        <w:jc w:val="both"/>
        <w:rPr>
          <w:rFonts w:ascii="Verdana" w:hAnsi="Verdana"/>
        </w:rPr>
      </w:pPr>
      <w:r>
        <w:rPr>
          <w:rFonts w:ascii="Verdana" w:hAnsi="Verdana"/>
        </w:rPr>
        <w:t xml:space="preserve">Svolgimento di una procedura negoziata sulla piattaforma </w:t>
      </w:r>
      <w:proofErr w:type="spellStart"/>
      <w:r>
        <w:rPr>
          <w:rFonts w:ascii="Verdana" w:hAnsi="Verdana"/>
        </w:rPr>
        <w:t>MePA</w:t>
      </w:r>
      <w:proofErr w:type="spellEnd"/>
      <w:r>
        <w:rPr>
          <w:rFonts w:ascii="Verdana" w:hAnsi="Verdana"/>
        </w:rPr>
        <w:t xml:space="preserve"> ex art. 1 -comma 2- lett. b) del D.L. n. 76 del 16 luglio 2020 convertito con Legge n. 120/2020; d.lgs. 50/2016 </w:t>
      </w:r>
      <w:proofErr w:type="spellStart"/>
      <w:r>
        <w:rPr>
          <w:rFonts w:ascii="Verdana" w:hAnsi="Verdana"/>
        </w:rPr>
        <w:t>ss.mm.ii</w:t>
      </w:r>
      <w:proofErr w:type="spellEnd"/>
      <w:r>
        <w:rPr>
          <w:rFonts w:ascii="Verdana" w:hAnsi="Verdana"/>
        </w:rPr>
        <w:t>. finalizzata alla stipulazione di un Accordo Quadro ex art. 54 comma 3 del Codice dei Contratti Pubblici.</w:t>
      </w:r>
    </w:p>
    <w:p w14:paraId="2DAB2C51" w14:textId="77777777" w:rsidR="00B32004" w:rsidRDefault="00B32004" w:rsidP="00B32004">
      <w:pPr>
        <w:spacing w:before="120"/>
        <w:ind w:left="709"/>
        <w:jc w:val="both"/>
        <w:rPr>
          <w:rFonts w:ascii="Verdana" w:hAnsi="Verdana"/>
        </w:rPr>
      </w:pPr>
    </w:p>
    <w:tbl>
      <w:tblPr>
        <w:tblW w:w="8659" w:type="dxa"/>
        <w:tblInd w:w="426" w:type="dxa"/>
        <w:tblCellMar>
          <w:left w:w="0" w:type="dxa"/>
          <w:right w:w="0" w:type="dxa"/>
        </w:tblCellMar>
        <w:tblLook w:val="04A0" w:firstRow="1" w:lastRow="0" w:firstColumn="1" w:lastColumn="0" w:noHBand="0" w:noVBand="1"/>
      </w:tblPr>
      <w:tblGrid>
        <w:gridCol w:w="5476"/>
        <w:gridCol w:w="3756"/>
      </w:tblGrid>
      <w:tr w:rsidR="00B32004" w14:paraId="5E778976" w14:textId="77777777" w:rsidTr="00B32004">
        <w:trPr>
          <w:trHeight w:val="199"/>
        </w:trPr>
        <w:tc>
          <w:tcPr>
            <w:tcW w:w="8659" w:type="dxa"/>
            <w:gridSpan w:val="2"/>
            <w:tcBorders>
              <w:top w:val="nil"/>
              <w:left w:val="nil"/>
              <w:bottom w:val="dotted" w:sz="8" w:space="0" w:color="auto"/>
              <w:right w:val="nil"/>
            </w:tcBorders>
            <w:tcMar>
              <w:top w:w="0" w:type="dxa"/>
              <w:left w:w="108" w:type="dxa"/>
              <w:bottom w:w="0" w:type="dxa"/>
              <w:right w:w="108" w:type="dxa"/>
            </w:tcMar>
            <w:hideMark/>
          </w:tcPr>
          <w:tbl>
            <w:tblPr>
              <w:tblW w:w="9016" w:type="dxa"/>
              <w:tblCellMar>
                <w:left w:w="0" w:type="dxa"/>
                <w:right w:w="0" w:type="dxa"/>
              </w:tblCellMar>
              <w:tblLook w:val="04A0" w:firstRow="1" w:lastRow="0" w:firstColumn="1" w:lastColumn="0" w:noHBand="0" w:noVBand="1"/>
            </w:tblPr>
            <w:tblGrid>
              <w:gridCol w:w="6779"/>
              <w:gridCol w:w="2237"/>
            </w:tblGrid>
            <w:tr w:rsidR="00B32004" w14:paraId="345E9C9F" w14:textId="77777777">
              <w:trPr>
                <w:trHeight w:val="293"/>
              </w:trPr>
              <w:tc>
                <w:tcPr>
                  <w:tcW w:w="9016" w:type="dxa"/>
                  <w:gridSpan w:val="2"/>
                  <w:tcBorders>
                    <w:top w:val="nil"/>
                    <w:left w:val="nil"/>
                    <w:bottom w:val="dotted" w:sz="8" w:space="0" w:color="auto"/>
                    <w:right w:val="nil"/>
                  </w:tcBorders>
                  <w:tcMar>
                    <w:top w:w="0" w:type="dxa"/>
                    <w:left w:w="108" w:type="dxa"/>
                    <w:bottom w:w="0" w:type="dxa"/>
                    <w:right w:w="108" w:type="dxa"/>
                  </w:tcMar>
                  <w:hideMark/>
                </w:tcPr>
                <w:p w14:paraId="1ACFE3B0" w14:textId="77777777" w:rsidR="00B32004" w:rsidRDefault="00B32004">
                  <w:pPr>
                    <w:spacing w:line="240" w:lineRule="auto"/>
                    <w:ind w:left="284"/>
                    <w:rPr>
                      <w:rFonts w:ascii="Verdana" w:hAnsi="Verdana"/>
                      <w:sz w:val="20"/>
                      <w:szCs w:val="20"/>
                      <w:lang w:eastAsia="it-IT"/>
                    </w:rPr>
                  </w:pPr>
                  <w:bookmarkStart w:id="3" w:name="_Hlk55997151"/>
                  <w:r>
                    <w:rPr>
                      <w:rFonts w:ascii="Verdana" w:hAnsi="Verdana"/>
                      <w:sz w:val="20"/>
                      <w:szCs w:val="20"/>
                      <w:lang w:eastAsia="it-IT"/>
                    </w:rPr>
                    <w:t>Richiesta di autorizzazione di spesa per le seguenti somme:</w:t>
                  </w:r>
                </w:p>
              </w:tc>
            </w:tr>
            <w:tr w:rsidR="00B32004" w14:paraId="66F6E0F1" w14:textId="77777777">
              <w:trPr>
                <w:trHeight w:val="70"/>
              </w:trPr>
              <w:tc>
                <w:tcPr>
                  <w:tcW w:w="6779" w:type="dxa"/>
                  <w:tcBorders>
                    <w:top w:val="nil"/>
                    <w:left w:val="nil"/>
                    <w:bottom w:val="dotted" w:sz="8" w:space="0" w:color="auto"/>
                    <w:right w:val="nil"/>
                  </w:tcBorders>
                  <w:tcMar>
                    <w:top w:w="0" w:type="dxa"/>
                    <w:left w:w="108" w:type="dxa"/>
                    <w:bottom w:w="0" w:type="dxa"/>
                    <w:right w:w="108" w:type="dxa"/>
                  </w:tcMar>
                  <w:hideMark/>
                </w:tcPr>
                <w:p w14:paraId="2CAB56C1" w14:textId="77777777" w:rsidR="00B32004" w:rsidRDefault="00B32004">
                  <w:pPr>
                    <w:spacing w:line="240" w:lineRule="auto"/>
                    <w:ind w:left="-110"/>
                    <w:jc w:val="both"/>
                    <w:rPr>
                      <w:rFonts w:ascii="Verdana" w:hAnsi="Verdana"/>
                      <w:sz w:val="20"/>
                      <w:szCs w:val="20"/>
                      <w:lang w:eastAsia="it-IT"/>
                    </w:rPr>
                  </w:pPr>
                  <w:r>
                    <w:rPr>
                      <w:rFonts w:ascii="Verdana" w:hAnsi="Verdana"/>
                      <w:sz w:val="20"/>
                      <w:szCs w:val="20"/>
                      <w:lang w:eastAsia="it-IT"/>
                    </w:rPr>
                    <w:t>Importo per lavori a misura presunti da contabilizzarsi ai prezzi unitari singolarmente soggetti a ribasso d’asta</w:t>
                  </w:r>
                </w:p>
              </w:tc>
              <w:tc>
                <w:tcPr>
                  <w:tcW w:w="2236" w:type="dxa"/>
                  <w:tcBorders>
                    <w:top w:val="nil"/>
                    <w:left w:val="nil"/>
                    <w:bottom w:val="dotted" w:sz="8" w:space="0" w:color="auto"/>
                    <w:right w:val="nil"/>
                  </w:tcBorders>
                  <w:tcMar>
                    <w:top w:w="0" w:type="dxa"/>
                    <w:left w:w="108" w:type="dxa"/>
                    <w:bottom w:w="0" w:type="dxa"/>
                    <w:right w:w="108" w:type="dxa"/>
                  </w:tcMar>
                  <w:hideMark/>
                </w:tcPr>
                <w:p w14:paraId="442BFF88" w14:textId="77777777" w:rsidR="00B32004" w:rsidRDefault="00B32004">
                  <w:pPr>
                    <w:spacing w:line="240" w:lineRule="auto"/>
                    <w:ind w:left="284"/>
                    <w:jc w:val="right"/>
                    <w:rPr>
                      <w:rFonts w:ascii="Verdana" w:hAnsi="Verdana"/>
                      <w:sz w:val="20"/>
                      <w:szCs w:val="20"/>
                      <w:lang w:eastAsia="it-IT"/>
                    </w:rPr>
                  </w:pPr>
                  <w:r>
                    <w:rPr>
                      <w:rFonts w:ascii="Verdana" w:hAnsi="Verdana"/>
                      <w:sz w:val="20"/>
                      <w:szCs w:val="20"/>
                      <w:lang w:eastAsia="it-IT"/>
                    </w:rPr>
                    <w:t>272.600,00 €</w:t>
                  </w:r>
                </w:p>
              </w:tc>
            </w:tr>
            <w:tr w:rsidR="00B32004" w14:paraId="4F491221" w14:textId="77777777">
              <w:trPr>
                <w:trHeight w:val="332"/>
              </w:trPr>
              <w:tc>
                <w:tcPr>
                  <w:tcW w:w="6779" w:type="dxa"/>
                  <w:tcBorders>
                    <w:top w:val="nil"/>
                    <w:left w:val="nil"/>
                    <w:bottom w:val="single" w:sz="8" w:space="0" w:color="auto"/>
                    <w:right w:val="nil"/>
                  </w:tcBorders>
                  <w:tcMar>
                    <w:top w:w="0" w:type="dxa"/>
                    <w:left w:w="108" w:type="dxa"/>
                    <w:bottom w:w="0" w:type="dxa"/>
                    <w:right w:w="108" w:type="dxa"/>
                  </w:tcMar>
                  <w:hideMark/>
                </w:tcPr>
                <w:p w14:paraId="282063E8" w14:textId="77777777" w:rsidR="00B32004" w:rsidRDefault="00B32004">
                  <w:pPr>
                    <w:spacing w:line="240" w:lineRule="auto"/>
                    <w:ind w:left="-110"/>
                    <w:jc w:val="both"/>
                    <w:rPr>
                      <w:rFonts w:ascii="Verdana" w:hAnsi="Verdana"/>
                      <w:sz w:val="20"/>
                      <w:szCs w:val="20"/>
                      <w:lang w:eastAsia="it-IT"/>
                    </w:rPr>
                  </w:pPr>
                  <w:r>
                    <w:rPr>
                      <w:rFonts w:ascii="Verdana" w:hAnsi="Verdana"/>
                      <w:sz w:val="20"/>
                      <w:szCs w:val="20"/>
                      <w:lang w:eastAsia="it-IT"/>
                    </w:rPr>
                    <w:t>Costi presunti della sicurezza non soggetti a ribasso</w:t>
                  </w:r>
                </w:p>
              </w:tc>
              <w:tc>
                <w:tcPr>
                  <w:tcW w:w="2236" w:type="dxa"/>
                  <w:tcBorders>
                    <w:top w:val="nil"/>
                    <w:left w:val="nil"/>
                    <w:bottom w:val="single" w:sz="8" w:space="0" w:color="auto"/>
                    <w:right w:val="nil"/>
                  </w:tcBorders>
                  <w:tcMar>
                    <w:top w:w="0" w:type="dxa"/>
                    <w:left w:w="108" w:type="dxa"/>
                    <w:bottom w:w="0" w:type="dxa"/>
                    <w:right w:w="108" w:type="dxa"/>
                  </w:tcMar>
                  <w:hideMark/>
                </w:tcPr>
                <w:p w14:paraId="7DA57366" w14:textId="77777777" w:rsidR="00B32004" w:rsidRDefault="00B32004">
                  <w:pPr>
                    <w:spacing w:line="240" w:lineRule="auto"/>
                    <w:ind w:left="284"/>
                    <w:jc w:val="right"/>
                    <w:rPr>
                      <w:rFonts w:ascii="Verdana" w:hAnsi="Verdana"/>
                      <w:sz w:val="20"/>
                      <w:szCs w:val="20"/>
                      <w:lang w:eastAsia="it-IT"/>
                    </w:rPr>
                  </w:pPr>
                  <w:r>
                    <w:rPr>
                      <w:rFonts w:ascii="Verdana" w:hAnsi="Verdana"/>
                      <w:sz w:val="20"/>
                      <w:szCs w:val="20"/>
                      <w:lang w:eastAsia="it-IT"/>
                    </w:rPr>
                    <w:t>5.400,00 €</w:t>
                  </w:r>
                </w:p>
              </w:tc>
            </w:tr>
            <w:tr w:rsidR="00B32004" w14:paraId="4827F1F5" w14:textId="77777777">
              <w:trPr>
                <w:trHeight w:val="203"/>
              </w:trPr>
              <w:tc>
                <w:tcPr>
                  <w:tcW w:w="6779" w:type="dxa"/>
                  <w:tcMar>
                    <w:top w:w="0" w:type="dxa"/>
                    <w:left w:w="108" w:type="dxa"/>
                    <w:bottom w:w="0" w:type="dxa"/>
                    <w:right w:w="108" w:type="dxa"/>
                  </w:tcMar>
                  <w:hideMark/>
                </w:tcPr>
                <w:p w14:paraId="4149626A" w14:textId="77777777" w:rsidR="00B32004" w:rsidRDefault="00B32004">
                  <w:pPr>
                    <w:spacing w:line="240" w:lineRule="auto"/>
                    <w:ind w:left="-110"/>
                    <w:jc w:val="both"/>
                    <w:rPr>
                      <w:rFonts w:ascii="Verdana" w:hAnsi="Verdana"/>
                      <w:sz w:val="20"/>
                      <w:szCs w:val="20"/>
                      <w:lang w:eastAsia="it-IT"/>
                    </w:rPr>
                  </w:pPr>
                  <w:r>
                    <w:rPr>
                      <w:rFonts w:ascii="Verdana" w:hAnsi="Verdana"/>
                      <w:sz w:val="20"/>
                      <w:szCs w:val="20"/>
                      <w:lang w:eastAsia="it-IT"/>
                    </w:rPr>
                    <w:t xml:space="preserve">Totale netto per lavori in progetto categoria OS30 </w:t>
                  </w:r>
                </w:p>
              </w:tc>
              <w:tc>
                <w:tcPr>
                  <w:tcW w:w="2236" w:type="dxa"/>
                  <w:tcMar>
                    <w:top w:w="0" w:type="dxa"/>
                    <w:left w:w="108" w:type="dxa"/>
                    <w:bottom w:w="0" w:type="dxa"/>
                    <w:right w:w="108" w:type="dxa"/>
                  </w:tcMar>
                  <w:hideMark/>
                </w:tcPr>
                <w:p w14:paraId="375161F6" w14:textId="77777777" w:rsidR="00B32004" w:rsidRDefault="00B32004">
                  <w:pPr>
                    <w:spacing w:line="240" w:lineRule="auto"/>
                    <w:ind w:left="284"/>
                    <w:jc w:val="right"/>
                    <w:rPr>
                      <w:rFonts w:ascii="Verdana" w:hAnsi="Verdana"/>
                      <w:sz w:val="20"/>
                      <w:szCs w:val="20"/>
                      <w:lang w:eastAsia="it-IT"/>
                    </w:rPr>
                  </w:pPr>
                  <w:r>
                    <w:rPr>
                      <w:rFonts w:ascii="Verdana" w:hAnsi="Verdana"/>
                      <w:sz w:val="20"/>
                      <w:szCs w:val="20"/>
                      <w:lang w:eastAsia="it-IT"/>
                    </w:rPr>
                    <w:t>278.000,00 €</w:t>
                  </w:r>
                </w:p>
              </w:tc>
            </w:tr>
            <w:tr w:rsidR="00B32004" w14:paraId="567C028D" w14:textId="77777777">
              <w:trPr>
                <w:trHeight w:val="332"/>
              </w:trPr>
              <w:tc>
                <w:tcPr>
                  <w:tcW w:w="6779" w:type="dxa"/>
                  <w:tcBorders>
                    <w:top w:val="nil"/>
                    <w:left w:val="nil"/>
                    <w:bottom w:val="single" w:sz="8" w:space="0" w:color="auto"/>
                    <w:right w:val="nil"/>
                  </w:tcBorders>
                  <w:tcMar>
                    <w:top w:w="0" w:type="dxa"/>
                    <w:left w:w="108" w:type="dxa"/>
                    <w:bottom w:w="0" w:type="dxa"/>
                    <w:right w:w="108" w:type="dxa"/>
                  </w:tcMar>
                  <w:hideMark/>
                </w:tcPr>
                <w:p w14:paraId="3F7A2ACE" w14:textId="77777777" w:rsidR="00B32004" w:rsidRDefault="00B32004">
                  <w:pPr>
                    <w:spacing w:line="240" w:lineRule="auto"/>
                    <w:ind w:left="-110"/>
                    <w:jc w:val="both"/>
                    <w:rPr>
                      <w:rFonts w:ascii="Verdana" w:hAnsi="Verdana"/>
                      <w:sz w:val="20"/>
                      <w:szCs w:val="20"/>
                      <w:lang w:eastAsia="it-IT"/>
                    </w:rPr>
                  </w:pPr>
                  <w:r>
                    <w:rPr>
                      <w:rFonts w:ascii="Verdana" w:hAnsi="Verdana"/>
                      <w:sz w:val="20"/>
                      <w:szCs w:val="20"/>
                      <w:lang w:eastAsia="it-IT"/>
                    </w:rPr>
                    <w:t>IVA al 22%</w:t>
                  </w:r>
                </w:p>
              </w:tc>
              <w:tc>
                <w:tcPr>
                  <w:tcW w:w="2236" w:type="dxa"/>
                  <w:tcBorders>
                    <w:top w:val="nil"/>
                    <w:left w:val="nil"/>
                    <w:bottom w:val="single" w:sz="8" w:space="0" w:color="auto"/>
                    <w:right w:val="nil"/>
                  </w:tcBorders>
                  <w:tcMar>
                    <w:top w:w="0" w:type="dxa"/>
                    <w:left w:w="108" w:type="dxa"/>
                    <w:bottom w:w="0" w:type="dxa"/>
                    <w:right w:w="108" w:type="dxa"/>
                  </w:tcMar>
                  <w:hideMark/>
                </w:tcPr>
                <w:p w14:paraId="4CC902C4" w14:textId="77777777" w:rsidR="00B32004" w:rsidRDefault="00B32004">
                  <w:pPr>
                    <w:spacing w:line="240" w:lineRule="auto"/>
                    <w:ind w:left="284"/>
                    <w:jc w:val="right"/>
                    <w:rPr>
                      <w:rFonts w:ascii="Verdana" w:hAnsi="Verdana"/>
                      <w:sz w:val="20"/>
                      <w:szCs w:val="20"/>
                      <w:lang w:eastAsia="it-IT"/>
                    </w:rPr>
                  </w:pPr>
                  <w:r>
                    <w:rPr>
                      <w:rFonts w:ascii="Verdana" w:hAnsi="Verdana"/>
                      <w:sz w:val="20"/>
                      <w:szCs w:val="20"/>
                      <w:lang w:eastAsia="it-IT"/>
                    </w:rPr>
                    <w:t>61.160,00 €</w:t>
                  </w:r>
                </w:p>
              </w:tc>
            </w:tr>
            <w:tr w:rsidR="00B32004" w14:paraId="5D3F6CC9" w14:textId="77777777">
              <w:trPr>
                <w:trHeight w:val="338"/>
              </w:trPr>
              <w:tc>
                <w:tcPr>
                  <w:tcW w:w="6779" w:type="dxa"/>
                  <w:tcMar>
                    <w:top w:w="0" w:type="dxa"/>
                    <w:left w:w="108" w:type="dxa"/>
                    <w:bottom w:w="0" w:type="dxa"/>
                    <w:right w:w="108" w:type="dxa"/>
                  </w:tcMar>
                  <w:hideMark/>
                </w:tcPr>
                <w:p w14:paraId="6E7AC3E5" w14:textId="77777777" w:rsidR="00B32004" w:rsidRDefault="00B32004">
                  <w:pPr>
                    <w:spacing w:line="240" w:lineRule="auto"/>
                    <w:ind w:left="-110"/>
                    <w:jc w:val="both"/>
                    <w:rPr>
                      <w:rFonts w:ascii="Verdana" w:hAnsi="Verdana"/>
                      <w:sz w:val="20"/>
                      <w:szCs w:val="20"/>
                      <w:lang w:eastAsia="it-IT"/>
                    </w:rPr>
                  </w:pPr>
                  <w:r>
                    <w:rPr>
                      <w:rFonts w:ascii="Verdana" w:hAnsi="Verdana"/>
                      <w:sz w:val="20"/>
                      <w:szCs w:val="20"/>
                      <w:lang w:eastAsia="it-IT"/>
                    </w:rPr>
                    <w:t>Totale lordo</w:t>
                  </w:r>
                </w:p>
              </w:tc>
              <w:tc>
                <w:tcPr>
                  <w:tcW w:w="2236" w:type="dxa"/>
                  <w:tcMar>
                    <w:top w:w="0" w:type="dxa"/>
                    <w:left w:w="108" w:type="dxa"/>
                    <w:bottom w:w="0" w:type="dxa"/>
                    <w:right w:w="108" w:type="dxa"/>
                  </w:tcMar>
                  <w:hideMark/>
                </w:tcPr>
                <w:p w14:paraId="76BA1EE0" w14:textId="77777777" w:rsidR="00B32004" w:rsidRDefault="00B32004">
                  <w:pPr>
                    <w:spacing w:line="240" w:lineRule="auto"/>
                    <w:ind w:left="284"/>
                    <w:jc w:val="right"/>
                    <w:rPr>
                      <w:rFonts w:ascii="Verdana" w:hAnsi="Verdana"/>
                      <w:sz w:val="20"/>
                      <w:szCs w:val="20"/>
                      <w:lang w:eastAsia="it-IT"/>
                    </w:rPr>
                  </w:pPr>
                  <w:r>
                    <w:rPr>
                      <w:rFonts w:ascii="Verdana" w:hAnsi="Verdana"/>
                      <w:sz w:val="20"/>
                      <w:szCs w:val="20"/>
                      <w:lang w:eastAsia="it-IT"/>
                    </w:rPr>
                    <w:t>339.160,00 €</w:t>
                  </w:r>
                </w:p>
              </w:tc>
            </w:tr>
            <w:tr w:rsidR="00B32004" w14:paraId="502B7E2F" w14:textId="77777777">
              <w:trPr>
                <w:trHeight w:val="332"/>
              </w:trPr>
              <w:tc>
                <w:tcPr>
                  <w:tcW w:w="6779" w:type="dxa"/>
                  <w:tcBorders>
                    <w:top w:val="dotted" w:sz="8" w:space="0" w:color="auto"/>
                    <w:left w:val="nil"/>
                    <w:bottom w:val="dotted" w:sz="8" w:space="0" w:color="auto"/>
                    <w:right w:val="nil"/>
                  </w:tcBorders>
                  <w:tcMar>
                    <w:top w:w="0" w:type="dxa"/>
                    <w:left w:w="108" w:type="dxa"/>
                    <w:bottom w:w="0" w:type="dxa"/>
                    <w:right w:w="108" w:type="dxa"/>
                  </w:tcMar>
                  <w:hideMark/>
                </w:tcPr>
                <w:p w14:paraId="653D4D22" w14:textId="77777777" w:rsidR="00B32004" w:rsidRDefault="00B32004">
                  <w:pPr>
                    <w:spacing w:line="240" w:lineRule="auto"/>
                    <w:ind w:left="-110"/>
                    <w:jc w:val="both"/>
                    <w:rPr>
                      <w:rFonts w:ascii="Verdana" w:hAnsi="Verdana"/>
                      <w:sz w:val="20"/>
                      <w:szCs w:val="20"/>
                      <w:lang w:eastAsia="it-IT"/>
                    </w:rPr>
                  </w:pPr>
                  <w:r>
                    <w:rPr>
                      <w:rFonts w:ascii="Verdana" w:hAnsi="Verdana"/>
                      <w:sz w:val="20"/>
                      <w:szCs w:val="20"/>
                      <w:lang w:eastAsia="it-IT"/>
                    </w:rPr>
                    <w:t>Imprevisti</w:t>
                  </w:r>
                </w:p>
              </w:tc>
              <w:tc>
                <w:tcPr>
                  <w:tcW w:w="2236" w:type="dxa"/>
                  <w:tcBorders>
                    <w:top w:val="dotted" w:sz="8" w:space="0" w:color="auto"/>
                    <w:left w:val="nil"/>
                    <w:bottom w:val="dotted" w:sz="8" w:space="0" w:color="auto"/>
                    <w:right w:val="nil"/>
                  </w:tcBorders>
                  <w:tcMar>
                    <w:top w:w="0" w:type="dxa"/>
                    <w:left w:w="108" w:type="dxa"/>
                    <w:bottom w:w="0" w:type="dxa"/>
                    <w:right w:w="108" w:type="dxa"/>
                  </w:tcMar>
                  <w:hideMark/>
                </w:tcPr>
                <w:p w14:paraId="7BC503B0" w14:textId="77777777" w:rsidR="00B32004" w:rsidRDefault="00B32004">
                  <w:pPr>
                    <w:spacing w:line="240" w:lineRule="auto"/>
                    <w:ind w:left="284"/>
                    <w:jc w:val="right"/>
                    <w:rPr>
                      <w:rFonts w:ascii="Verdana" w:hAnsi="Verdana"/>
                      <w:sz w:val="20"/>
                      <w:szCs w:val="20"/>
                      <w:lang w:eastAsia="it-IT"/>
                    </w:rPr>
                  </w:pPr>
                  <w:r>
                    <w:rPr>
                      <w:rFonts w:ascii="Verdana" w:hAnsi="Verdana"/>
                      <w:sz w:val="20"/>
                      <w:szCs w:val="20"/>
                      <w:lang w:eastAsia="it-IT"/>
                    </w:rPr>
                    <w:t>0.00 €</w:t>
                  </w:r>
                </w:p>
              </w:tc>
            </w:tr>
            <w:tr w:rsidR="00B32004" w14:paraId="63128C41" w14:textId="77777777">
              <w:trPr>
                <w:trHeight w:val="338"/>
              </w:trPr>
              <w:tc>
                <w:tcPr>
                  <w:tcW w:w="6779" w:type="dxa"/>
                  <w:tcBorders>
                    <w:top w:val="nil"/>
                    <w:left w:val="nil"/>
                    <w:bottom w:val="single" w:sz="8" w:space="0" w:color="auto"/>
                    <w:right w:val="nil"/>
                  </w:tcBorders>
                  <w:tcMar>
                    <w:top w:w="0" w:type="dxa"/>
                    <w:left w:w="108" w:type="dxa"/>
                    <w:bottom w:w="0" w:type="dxa"/>
                    <w:right w:w="108" w:type="dxa"/>
                  </w:tcMar>
                  <w:hideMark/>
                </w:tcPr>
                <w:p w14:paraId="2F94A5AB" w14:textId="77777777" w:rsidR="00B32004" w:rsidRDefault="00B32004">
                  <w:pPr>
                    <w:spacing w:line="240" w:lineRule="auto"/>
                    <w:ind w:left="-110"/>
                    <w:jc w:val="both"/>
                    <w:rPr>
                      <w:rFonts w:ascii="Verdana" w:hAnsi="Verdana"/>
                      <w:sz w:val="20"/>
                      <w:szCs w:val="20"/>
                      <w:lang w:eastAsia="it-IT"/>
                    </w:rPr>
                  </w:pPr>
                  <w:r>
                    <w:rPr>
                      <w:rFonts w:ascii="Verdana" w:hAnsi="Verdana"/>
                      <w:sz w:val="20"/>
                      <w:szCs w:val="20"/>
                      <w:lang w:eastAsia="it-IT"/>
                    </w:rPr>
                    <w:t>IVA su imprevisti</w:t>
                  </w:r>
                </w:p>
              </w:tc>
              <w:tc>
                <w:tcPr>
                  <w:tcW w:w="2236" w:type="dxa"/>
                  <w:tcBorders>
                    <w:top w:val="nil"/>
                    <w:left w:val="nil"/>
                    <w:bottom w:val="single" w:sz="8" w:space="0" w:color="auto"/>
                    <w:right w:val="nil"/>
                  </w:tcBorders>
                  <w:tcMar>
                    <w:top w:w="0" w:type="dxa"/>
                    <w:left w:w="108" w:type="dxa"/>
                    <w:bottom w:w="0" w:type="dxa"/>
                    <w:right w:w="108" w:type="dxa"/>
                  </w:tcMar>
                  <w:hideMark/>
                </w:tcPr>
                <w:p w14:paraId="74A46DBB" w14:textId="77777777" w:rsidR="00B32004" w:rsidRDefault="00B32004">
                  <w:pPr>
                    <w:spacing w:line="240" w:lineRule="auto"/>
                    <w:ind w:left="284"/>
                    <w:jc w:val="right"/>
                    <w:rPr>
                      <w:rFonts w:ascii="Verdana" w:hAnsi="Verdana"/>
                      <w:sz w:val="20"/>
                      <w:szCs w:val="20"/>
                      <w:lang w:eastAsia="it-IT"/>
                    </w:rPr>
                  </w:pPr>
                  <w:r>
                    <w:rPr>
                      <w:rFonts w:ascii="Verdana" w:hAnsi="Verdana"/>
                      <w:sz w:val="20"/>
                      <w:szCs w:val="20"/>
                      <w:lang w:eastAsia="it-IT"/>
                    </w:rPr>
                    <w:t>   0,00 €</w:t>
                  </w:r>
                </w:p>
              </w:tc>
            </w:tr>
            <w:tr w:rsidR="00B32004" w14:paraId="4EDE2614" w14:textId="77777777">
              <w:trPr>
                <w:trHeight w:val="332"/>
              </w:trPr>
              <w:tc>
                <w:tcPr>
                  <w:tcW w:w="6779" w:type="dxa"/>
                  <w:tcMar>
                    <w:top w:w="0" w:type="dxa"/>
                    <w:left w:w="108" w:type="dxa"/>
                    <w:bottom w:w="0" w:type="dxa"/>
                    <w:right w:w="108" w:type="dxa"/>
                  </w:tcMar>
                  <w:hideMark/>
                </w:tcPr>
                <w:p w14:paraId="599B740D" w14:textId="77777777" w:rsidR="00B32004" w:rsidRDefault="00B32004">
                  <w:pPr>
                    <w:spacing w:line="240" w:lineRule="auto"/>
                    <w:ind w:left="-110"/>
                    <w:jc w:val="both"/>
                    <w:rPr>
                      <w:rFonts w:ascii="Verdana" w:hAnsi="Verdana"/>
                      <w:b/>
                      <w:bCs/>
                      <w:sz w:val="20"/>
                      <w:szCs w:val="20"/>
                      <w:lang w:eastAsia="it-IT"/>
                    </w:rPr>
                  </w:pPr>
                  <w:r>
                    <w:rPr>
                      <w:rFonts w:ascii="Verdana" w:hAnsi="Verdana"/>
                      <w:b/>
                      <w:bCs/>
                      <w:sz w:val="20"/>
                      <w:szCs w:val="20"/>
                      <w:lang w:eastAsia="it-IT"/>
                    </w:rPr>
                    <w:t>Totale finanziamento per lavori sul Cap. 5U211201007</w:t>
                  </w:r>
                </w:p>
              </w:tc>
              <w:tc>
                <w:tcPr>
                  <w:tcW w:w="2236" w:type="dxa"/>
                  <w:tcMar>
                    <w:top w:w="0" w:type="dxa"/>
                    <w:left w:w="108" w:type="dxa"/>
                    <w:bottom w:w="0" w:type="dxa"/>
                    <w:right w:w="108" w:type="dxa"/>
                  </w:tcMar>
                  <w:hideMark/>
                </w:tcPr>
                <w:p w14:paraId="3BBFF9C7" w14:textId="77777777" w:rsidR="00B32004" w:rsidRDefault="00B32004">
                  <w:pPr>
                    <w:spacing w:line="240" w:lineRule="auto"/>
                    <w:ind w:left="284"/>
                    <w:jc w:val="right"/>
                    <w:rPr>
                      <w:rFonts w:ascii="Verdana" w:hAnsi="Verdana"/>
                      <w:b/>
                      <w:bCs/>
                      <w:sz w:val="20"/>
                      <w:szCs w:val="20"/>
                      <w:lang w:eastAsia="it-IT"/>
                    </w:rPr>
                  </w:pPr>
                  <w:r>
                    <w:rPr>
                      <w:rFonts w:ascii="Verdana" w:hAnsi="Verdana"/>
                      <w:b/>
                      <w:bCs/>
                      <w:sz w:val="20"/>
                      <w:szCs w:val="20"/>
                      <w:lang w:eastAsia="it-IT"/>
                    </w:rPr>
                    <w:t>339.160,00 €</w:t>
                  </w:r>
                </w:p>
              </w:tc>
            </w:tr>
            <w:tr w:rsidR="00B32004" w14:paraId="2B191EA6" w14:textId="77777777">
              <w:trPr>
                <w:trHeight w:val="218"/>
              </w:trPr>
              <w:tc>
                <w:tcPr>
                  <w:tcW w:w="6779" w:type="dxa"/>
                  <w:tcBorders>
                    <w:top w:val="nil"/>
                    <w:left w:val="nil"/>
                    <w:bottom w:val="single" w:sz="8" w:space="0" w:color="auto"/>
                    <w:right w:val="nil"/>
                  </w:tcBorders>
                  <w:tcMar>
                    <w:top w:w="0" w:type="dxa"/>
                    <w:left w:w="108" w:type="dxa"/>
                    <w:bottom w:w="0" w:type="dxa"/>
                    <w:right w:w="108" w:type="dxa"/>
                  </w:tcMar>
                  <w:vAlign w:val="center"/>
                  <w:hideMark/>
                </w:tcPr>
                <w:p w14:paraId="3B679E7D" w14:textId="77777777" w:rsidR="00B32004" w:rsidRDefault="00B32004">
                  <w:pPr>
                    <w:spacing w:line="240" w:lineRule="auto"/>
                    <w:ind w:left="-110"/>
                    <w:rPr>
                      <w:rFonts w:ascii="Verdana" w:hAnsi="Verdana"/>
                      <w:sz w:val="20"/>
                      <w:szCs w:val="20"/>
                      <w:lang w:eastAsia="it-IT"/>
                    </w:rPr>
                  </w:pPr>
                  <w:r>
                    <w:rPr>
                      <w:rFonts w:ascii="Verdana" w:hAnsi="Verdana"/>
                      <w:sz w:val="20"/>
                      <w:szCs w:val="20"/>
                      <w:lang w:eastAsia="it-IT"/>
                    </w:rPr>
                    <w:t xml:space="preserve">Incentivo ex art. 113 </w:t>
                  </w:r>
                  <w:proofErr w:type="spellStart"/>
                  <w:r>
                    <w:rPr>
                      <w:rFonts w:ascii="Verdana" w:hAnsi="Verdana"/>
                      <w:sz w:val="20"/>
                      <w:szCs w:val="20"/>
                      <w:lang w:eastAsia="it-IT"/>
                    </w:rPr>
                    <w:t>d.lgs</w:t>
                  </w:r>
                  <w:proofErr w:type="spellEnd"/>
                  <w:r>
                    <w:rPr>
                      <w:rFonts w:ascii="Verdana" w:hAnsi="Verdana"/>
                      <w:sz w:val="20"/>
                      <w:szCs w:val="20"/>
                      <w:lang w:eastAsia="it-IT"/>
                    </w:rPr>
                    <w:t>, 50/</w:t>
                  </w:r>
                  <w:proofErr w:type="gramStart"/>
                  <w:r>
                    <w:rPr>
                      <w:rFonts w:ascii="Verdana" w:hAnsi="Verdana"/>
                      <w:sz w:val="20"/>
                      <w:szCs w:val="20"/>
                      <w:lang w:eastAsia="it-IT"/>
                    </w:rPr>
                    <w:t>2016  sul</w:t>
                  </w:r>
                  <w:proofErr w:type="gramEnd"/>
                  <w:r>
                    <w:rPr>
                      <w:rFonts w:ascii="Verdana" w:hAnsi="Verdana"/>
                      <w:sz w:val="20"/>
                      <w:szCs w:val="20"/>
                      <w:lang w:eastAsia="it-IT"/>
                    </w:rPr>
                    <w:t xml:space="preserve"> Cap. 5U211201007</w:t>
                  </w:r>
                </w:p>
              </w:tc>
              <w:tc>
                <w:tcPr>
                  <w:tcW w:w="2236" w:type="dxa"/>
                  <w:tcBorders>
                    <w:top w:val="nil"/>
                    <w:left w:val="nil"/>
                    <w:bottom w:val="single" w:sz="8" w:space="0" w:color="auto"/>
                    <w:right w:val="nil"/>
                  </w:tcBorders>
                  <w:tcMar>
                    <w:top w:w="0" w:type="dxa"/>
                    <w:left w:w="108" w:type="dxa"/>
                    <w:bottom w:w="0" w:type="dxa"/>
                    <w:right w:w="108" w:type="dxa"/>
                  </w:tcMar>
                  <w:vAlign w:val="center"/>
                  <w:hideMark/>
                </w:tcPr>
                <w:p w14:paraId="1137F75B" w14:textId="77777777" w:rsidR="00B32004" w:rsidRDefault="00B32004">
                  <w:pPr>
                    <w:spacing w:line="240" w:lineRule="auto"/>
                    <w:ind w:left="284"/>
                    <w:jc w:val="right"/>
                    <w:rPr>
                      <w:rFonts w:ascii="Verdana" w:hAnsi="Verdana"/>
                      <w:sz w:val="20"/>
                      <w:szCs w:val="20"/>
                      <w:lang w:eastAsia="it-IT"/>
                    </w:rPr>
                  </w:pPr>
                  <w:r>
                    <w:rPr>
                      <w:rFonts w:ascii="Verdana" w:hAnsi="Verdana"/>
                      <w:sz w:val="20"/>
                      <w:szCs w:val="20"/>
                      <w:lang w:eastAsia="it-IT"/>
                    </w:rPr>
                    <w:t>5.560,00 €</w:t>
                  </w:r>
                </w:p>
              </w:tc>
            </w:tr>
            <w:tr w:rsidR="00B32004" w14:paraId="64736EC2" w14:textId="77777777">
              <w:trPr>
                <w:trHeight w:val="196"/>
              </w:trPr>
              <w:tc>
                <w:tcPr>
                  <w:tcW w:w="6779" w:type="dxa"/>
                  <w:tcMar>
                    <w:top w:w="0" w:type="dxa"/>
                    <w:left w:w="108" w:type="dxa"/>
                    <w:bottom w:w="0" w:type="dxa"/>
                    <w:right w:w="108" w:type="dxa"/>
                  </w:tcMar>
                  <w:hideMark/>
                </w:tcPr>
                <w:p w14:paraId="7DB98FCE" w14:textId="77777777" w:rsidR="00B32004" w:rsidRDefault="00B32004">
                  <w:pPr>
                    <w:spacing w:line="240" w:lineRule="auto"/>
                    <w:ind w:left="-110"/>
                    <w:jc w:val="both"/>
                    <w:rPr>
                      <w:rFonts w:ascii="Verdana" w:hAnsi="Verdana"/>
                      <w:b/>
                      <w:bCs/>
                      <w:sz w:val="20"/>
                      <w:szCs w:val="20"/>
                      <w:lang w:eastAsia="it-IT"/>
                    </w:rPr>
                  </w:pPr>
                  <w:r>
                    <w:rPr>
                      <w:rFonts w:ascii="Verdana" w:hAnsi="Verdana"/>
                      <w:b/>
                      <w:bCs/>
                      <w:sz w:val="20"/>
                      <w:szCs w:val="20"/>
                      <w:lang w:eastAsia="it-IT"/>
                    </w:rPr>
                    <w:t>Totale del finanziamento sul Cap. 5U211201007</w:t>
                  </w:r>
                </w:p>
              </w:tc>
              <w:tc>
                <w:tcPr>
                  <w:tcW w:w="2236" w:type="dxa"/>
                  <w:tcMar>
                    <w:top w:w="0" w:type="dxa"/>
                    <w:left w:w="108" w:type="dxa"/>
                    <w:bottom w:w="0" w:type="dxa"/>
                    <w:right w:w="108" w:type="dxa"/>
                  </w:tcMar>
                  <w:hideMark/>
                </w:tcPr>
                <w:p w14:paraId="52CED94E" w14:textId="77777777" w:rsidR="00B32004" w:rsidRDefault="00B32004">
                  <w:pPr>
                    <w:spacing w:line="240" w:lineRule="auto"/>
                    <w:ind w:left="284"/>
                    <w:jc w:val="right"/>
                    <w:rPr>
                      <w:rFonts w:ascii="Verdana" w:hAnsi="Verdana"/>
                      <w:b/>
                      <w:bCs/>
                      <w:sz w:val="20"/>
                      <w:szCs w:val="20"/>
                      <w:lang w:eastAsia="it-IT"/>
                    </w:rPr>
                  </w:pPr>
                  <w:r>
                    <w:rPr>
                      <w:rFonts w:ascii="Verdana" w:hAnsi="Verdana"/>
                      <w:b/>
                      <w:bCs/>
                      <w:sz w:val="20"/>
                      <w:szCs w:val="20"/>
                      <w:lang w:eastAsia="it-IT"/>
                    </w:rPr>
                    <w:t>344.720,00 €</w:t>
                  </w:r>
                </w:p>
              </w:tc>
              <w:bookmarkEnd w:id="3"/>
            </w:tr>
          </w:tbl>
          <w:p w14:paraId="3B6CF81F" w14:textId="77777777" w:rsidR="00B32004" w:rsidRDefault="00B32004">
            <w:pPr>
              <w:spacing w:after="0" w:line="240" w:lineRule="auto"/>
              <w:rPr>
                <w:rFonts w:ascii="Times New Roman" w:eastAsia="Times New Roman" w:hAnsi="Times New Roman" w:cs="Times New Roman"/>
                <w:sz w:val="20"/>
                <w:szCs w:val="20"/>
                <w:lang w:eastAsia="it-IT"/>
              </w:rPr>
            </w:pPr>
          </w:p>
        </w:tc>
      </w:tr>
      <w:tr w:rsidR="00B32004" w14:paraId="06BC7A35" w14:textId="77777777" w:rsidTr="00B32004">
        <w:trPr>
          <w:trHeight w:val="415"/>
        </w:trPr>
        <w:tc>
          <w:tcPr>
            <w:tcW w:w="5177" w:type="dxa"/>
            <w:tcBorders>
              <w:top w:val="nil"/>
              <w:left w:val="nil"/>
              <w:bottom w:val="dotted" w:sz="8" w:space="0" w:color="auto"/>
              <w:right w:val="nil"/>
            </w:tcBorders>
            <w:tcMar>
              <w:top w:w="0" w:type="dxa"/>
              <w:left w:w="108" w:type="dxa"/>
              <w:bottom w:w="0" w:type="dxa"/>
              <w:right w:w="108" w:type="dxa"/>
            </w:tcMar>
          </w:tcPr>
          <w:p w14:paraId="2AE169A8" w14:textId="77777777" w:rsidR="00B32004" w:rsidRDefault="00B32004">
            <w:pPr>
              <w:spacing w:line="240" w:lineRule="auto"/>
              <w:ind w:left="-110"/>
              <w:jc w:val="both"/>
              <w:rPr>
                <w:rFonts w:ascii="Verdana" w:hAnsi="Verdana"/>
                <w:highlight w:val="yellow"/>
                <w:lang w:eastAsia="it-IT"/>
              </w:rPr>
            </w:pPr>
            <w:bookmarkStart w:id="4" w:name="_Hlk54523122"/>
          </w:p>
        </w:tc>
        <w:tc>
          <w:tcPr>
            <w:tcW w:w="3482" w:type="dxa"/>
            <w:tcBorders>
              <w:top w:val="nil"/>
              <w:left w:val="nil"/>
              <w:bottom w:val="dotted" w:sz="8" w:space="0" w:color="auto"/>
              <w:right w:val="nil"/>
            </w:tcBorders>
            <w:tcMar>
              <w:top w:w="0" w:type="dxa"/>
              <w:left w:w="108" w:type="dxa"/>
              <w:bottom w:w="0" w:type="dxa"/>
              <w:right w:w="108" w:type="dxa"/>
            </w:tcMar>
          </w:tcPr>
          <w:p w14:paraId="249F1A30" w14:textId="77777777" w:rsidR="00B32004" w:rsidRDefault="00B32004">
            <w:pPr>
              <w:spacing w:line="240" w:lineRule="auto"/>
              <w:ind w:left="284"/>
              <w:jc w:val="right"/>
              <w:rPr>
                <w:rFonts w:ascii="Verdana" w:hAnsi="Verdana"/>
                <w:highlight w:val="yellow"/>
                <w:lang w:eastAsia="it-IT"/>
              </w:rPr>
            </w:pPr>
          </w:p>
        </w:tc>
      </w:tr>
      <w:bookmarkEnd w:id="4"/>
    </w:tbl>
    <w:p w14:paraId="07A903C5" w14:textId="77777777" w:rsidR="00B32004" w:rsidRDefault="00B32004" w:rsidP="00B32004">
      <w:pPr>
        <w:ind w:left="1276" w:hanging="1276"/>
        <w:contextualSpacing/>
        <w:jc w:val="center"/>
        <w:rPr>
          <w:rFonts w:ascii="Verdana" w:hAnsi="Verdana"/>
          <w:snapToGrid w:val="0"/>
        </w:rPr>
      </w:pPr>
    </w:p>
    <w:p w14:paraId="7A025F19" w14:textId="4EE8C69C" w:rsidR="00B32004" w:rsidRDefault="00B32004" w:rsidP="00B32004">
      <w:pPr>
        <w:spacing w:before="100" w:beforeAutospacing="1" w:after="0" w:line="240" w:lineRule="exact"/>
        <w:contextualSpacing/>
        <w:rPr>
          <w:rFonts w:ascii="Verdana" w:hAnsi="Verdana"/>
          <w:b/>
          <w:bCs/>
        </w:rPr>
      </w:pPr>
    </w:p>
    <w:p w14:paraId="53181E3F" w14:textId="5F4D2CFA" w:rsidR="00E01C6E" w:rsidRDefault="00E01C6E" w:rsidP="00B32004">
      <w:pPr>
        <w:spacing w:before="100" w:beforeAutospacing="1" w:after="0" w:line="240" w:lineRule="exact"/>
        <w:contextualSpacing/>
        <w:rPr>
          <w:rFonts w:ascii="Verdana" w:hAnsi="Verdana"/>
          <w:b/>
          <w:bCs/>
        </w:rPr>
      </w:pPr>
    </w:p>
    <w:p w14:paraId="2EC367B6" w14:textId="196E7262" w:rsidR="00E01C6E" w:rsidRDefault="00E01C6E" w:rsidP="00B32004">
      <w:pPr>
        <w:spacing w:before="100" w:beforeAutospacing="1" w:after="0" w:line="240" w:lineRule="exact"/>
        <w:contextualSpacing/>
        <w:rPr>
          <w:rFonts w:ascii="Verdana" w:hAnsi="Verdana"/>
          <w:b/>
          <w:bCs/>
        </w:rPr>
      </w:pPr>
    </w:p>
    <w:p w14:paraId="3D26D518" w14:textId="15C9DC1A" w:rsidR="00E01C6E" w:rsidRDefault="00E01C6E" w:rsidP="00B32004">
      <w:pPr>
        <w:spacing w:before="100" w:beforeAutospacing="1" w:after="0" w:line="240" w:lineRule="exact"/>
        <w:contextualSpacing/>
        <w:rPr>
          <w:rFonts w:ascii="Verdana" w:hAnsi="Verdana"/>
          <w:b/>
          <w:bCs/>
        </w:rPr>
      </w:pPr>
    </w:p>
    <w:p w14:paraId="030C8080" w14:textId="77777777" w:rsidR="00E01C6E" w:rsidRDefault="00E01C6E" w:rsidP="00B32004">
      <w:pPr>
        <w:spacing w:before="100" w:beforeAutospacing="1" w:after="0" w:line="240" w:lineRule="exact"/>
        <w:contextualSpacing/>
        <w:rPr>
          <w:rFonts w:ascii="Verdana" w:hAnsi="Verdana"/>
          <w:b/>
          <w:bCs/>
        </w:rPr>
      </w:pPr>
    </w:p>
    <w:p w14:paraId="48074DAC" w14:textId="77777777" w:rsidR="00B32004" w:rsidRDefault="00B32004" w:rsidP="00B32004">
      <w:pPr>
        <w:spacing w:before="100" w:beforeAutospacing="1" w:after="0" w:line="240" w:lineRule="exact"/>
        <w:contextualSpacing/>
        <w:rPr>
          <w:rFonts w:ascii="Verdana" w:hAnsi="Verdana"/>
          <w:b/>
          <w:bCs/>
        </w:rPr>
      </w:pPr>
    </w:p>
    <w:p w14:paraId="5B3BA89C" w14:textId="7E941B9F" w:rsidR="00B32004" w:rsidRPr="00653A15" w:rsidRDefault="00B47D92" w:rsidP="00B47D92">
      <w:pPr>
        <w:spacing w:before="100" w:beforeAutospacing="1" w:after="0" w:line="240" w:lineRule="exact"/>
        <w:ind w:firstLine="708"/>
        <w:contextualSpacing/>
        <w:jc w:val="center"/>
        <w:rPr>
          <w:rFonts w:ascii="Verdana" w:hAnsi="Verdana"/>
          <w:b/>
          <w:bCs/>
        </w:rPr>
      </w:pPr>
      <w:r w:rsidRPr="00653A15">
        <w:rPr>
          <w:rFonts w:ascii="Verdana" w:hAnsi="Verdana"/>
          <w:b/>
          <w:bCs/>
        </w:rPr>
        <w:t>I</w:t>
      </w:r>
      <w:r w:rsidR="00B32004" w:rsidRPr="00653A15">
        <w:rPr>
          <w:rFonts w:ascii="Verdana" w:hAnsi="Verdana"/>
          <w:b/>
          <w:bCs/>
        </w:rPr>
        <w:t>L DIRETTORE REGIONALE</w:t>
      </w:r>
    </w:p>
    <w:p w14:paraId="1AC03C72" w14:textId="77777777" w:rsidR="00B32004" w:rsidRPr="00653A15" w:rsidRDefault="00B32004" w:rsidP="00B32004">
      <w:pPr>
        <w:spacing w:before="100" w:beforeAutospacing="1" w:after="0" w:line="240" w:lineRule="exact"/>
        <w:contextualSpacing/>
        <w:rPr>
          <w:rFonts w:ascii="Verdana" w:hAnsi="Verdana"/>
          <w:b/>
          <w:bCs/>
        </w:rPr>
      </w:pPr>
    </w:p>
    <w:p w14:paraId="7AB87FBB" w14:textId="77777777" w:rsidR="00B32004" w:rsidRPr="00653A15" w:rsidRDefault="00B32004" w:rsidP="00B32004">
      <w:pPr>
        <w:spacing w:before="100" w:beforeAutospacing="1" w:after="0" w:line="240" w:lineRule="exact"/>
        <w:ind w:left="1701" w:hanging="1701"/>
        <w:contextualSpacing/>
        <w:jc w:val="both"/>
        <w:rPr>
          <w:rFonts w:ascii="Verdana" w:hAnsi="Verdana"/>
          <w:b/>
          <w:bCs/>
        </w:rPr>
      </w:pPr>
    </w:p>
    <w:p w14:paraId="13092BC3" w14:textId="5495B71F" w:rsidR="00B32004" w:rsidRDefault="00B32004" w:rsidP="00B32004">
      <w:pPr>
        <w:spacing w:after="0" w:line="240" w:lineRule="exact"/>
        <w:ind w:left="1701" w:hanging="1701"/>
        <w:contextualSpacing/>
        <w:jc w:val="both"/>
        <w:rPr>
          <w:rFonts w:ascii="Verdana" w:hAnsi="Verdana"/>
        </w:rPr>
      </w:pPr>
      <w:r w:rsidRPr="00653A15">
        <w:rPr>
          <w:rFonts w:ascii="Verdana" w:hAnsi="Verdana"/>
          <w:b/>
          <w:bCs/>
        </w:rPr>
        <w:t>Vista            </w:t>
      </w:r>
      <w:r w:rsidR="008F2AF6">
        <w:rPr>
          <w:rFonts w:ascii="Verdana" w:hAnsi="Verdana"/>
          <w:b/>
          <w:bCs/>
        </w:rPr>
        <w:t xml:space="preserve"> </w:t>
      </w:r>
      <w:r w:rsidRPr="00653A15">
        <w:rPr>
          <w:rFonts w:ascii="Verdana" w:hAnsi="Verdana"/>
          <w:b/>
          <w:bCs/>
        </w:rPr>
        <w:t xml:space="preserve"> </w:t>
      </w:r>
      <w:r w:rsidRPr="00653A15">
        <w:rPr>
          <w:rFonts w:ascii="Verdana" w:hAnsi="Verdana"/>
        </w:rPr>
        <w:t>la legge 88/1989 di ristrutturazione dell'Istituto nazionale della</w:t>
      </w:r>
      <w:r>
        <w:rPr>
          <w:rFonts w:ascii="Verdana" w:hAnsi="Verdana"/>
        </w:rPr>
        <w:t xml:space="preserve"> previdenza sociale e dell'Istituto nazionale per l'assicurazione contro gli infortuni sul lavoro;</w:t>
      </w:r>
    </w:p>
    <w:p w14:paraId="61E09102" w14:textId="77777777" w:rsidR="00B32004" w:rsidRDefault="00B32004" w:rsidP="00B32004">
      <w:pPr>
        <w:pStyle w:val="Paragrafoelenco"/>
        <w:spacing w:after="0" w:line="240" w:lineRule="exact"/>
        <w:ind w:left="1701" w:hanging="1701"/>
        <w:jc w:val="both"/>
        <w:rPr>
          <w:rFonts w:ascii="Verdana" w:hAnsi="Verdana"/>
        </w:rPr>
      </w:pPr>
    </w:p>
    <w:p w14:paraId="7F27EA44" w14:textId="77777777" w:rsidR="00B32004" w:rsidRDefault="00B32004" w:rsidP="00B32004">
      <w:pPr>
        <w:spacing w:after="0" w:line="240" w:lineRule="exact"/>
        <w:ind w:left="1701" w:hanging="1701"/>
        <w:jc w:val="both"/>
        <w:rPr>
          <w:rFonts w:ascii="Verdana" w:hAnsi="Verdana"/>
        </w:rPr>
      </w:pPr>
      <w:r>
        <w:rPr>
          <w:rFonts w:ascii="Verdana" w:hAnsi="Verdana"/>
          <w:b/>
          <w:bCs/>
        </w:rPr>
        <w:t xml:space="preserve">Visto </w:t>
      </w:r>
      <w:r>
        <w:rPr>
          <w:rFonts w:ascii="Verdana" w:hAnsi="Verdana"/>
        </w:rPr>
        <w:t>             il D.lgs. 30 giugno 1994 n. 479 di attuazione della delega conferita dall'art. 1, comma 32, della legge 24 dicembre 1993, n. 537, in materia di riordino e soppressione di enti pubblici di previdenza e assistenza;</w:t>
      </w:r>
    </w:p>
    <w:p w14:paraId="39532C2A" w14:textId="77777777" w:rsidR="00B32004" w:rsidRDefault="00B32004" w:rsidP="00B32004">
      <w:pPr>
        <w:spacing w:after="0" w:line="240" w:lineRule="exact"/>
        <w:ind w:left="1701" w:hanging="1701"/>
        <w:jc w:val="both"/>
        <w:rPr>
          <w:rFonts w:ascii="Verdana" w:hAnsi="Verdana"/>
          <w:b/>
          <w:bCs/>
        </w:rPr>
      </w:pPr>
    </w:p>
    <w:p w14:paraId="46D20BAB" w14:textId="77777777" w:rsidR="00B32004" w:rsidRDefault="00B32004" w:rsidP="00B32004">
      <w:pPr>
        <w:spacing w:after="0" w:line="240" w:lineRule="exact"/>
        <w:ind w:left="1701" w:hanging="1701"/>
        <w:jc w:val="both"/>
        <w:rPr>
          <w:rFonts w:ascii="Verdana" w:hAnsi="Verdana"/>
        </w:rPr>
      </w:pPr>
      <w:r>
        <w:rPr>
          <w:rFonts w:ascii="Verdana" w:hAnsi="Verdana"/>
          <w:b/>
          <w:bCs/>
        </w:rPr>
        <w:t xml:space="preserve">Visto </w:t>
      </w:r>
      <w:r>
        <w:rPr>
          <w:rFonts w:ascii="Verdana" w:hAnsi="Verdana"/>
        </w:rPr>
        <w:t>             il D.P.R. 24 settembre 1997 n. 366 “Regolamento concernente norme per l’organizzazione e il funzionamento dell’Istituto Nazionale della Previdenza Sociale”;</w:t>
      </w:r>
    </w:p>
    <w:p w14:paraId="031672BF" w14:textId="77777777" w:rsidR="00B32004" w:rsidRDefault="00B32004" w:rsidP="00B32004">
      <w:pPr>
        <w:spacing w:after="0" w:line="240" w:lineRule="exact"/>
        <w:ind w:left="1701" w:hanging="1701"/>
        <w:contextualSpacing/>
        <w:jc w:val="both"/>
        <w:rPr>
          <w:rFonts w:ascii="Verdana" w:hAnsi="Verdana"/>
        </w:rPr>
      </w:pPr>
    </w:p>
    <w:p w14:paraId="0F3CB1C7" w14:textId="77777777" w:rsidR="00B32004" w:rsidRDefault="00B32004" w:rsidP="00B32004">
      <w:pPr>
        <w:spacing w:after="0" w:line="240" w:lineRule="exact"/>
        <w:ind w:left="1701" w:hanging="1701"/>
        <w:jc w:val="both"/>
        <w:rPr>
          <w:rFonts w:ascii="Verdana" w:hAnsi="Verdana"/>
        </w:rPr>
      </w:pPr>
      <w:r>
        <w:rPr>
          <w:rFonts w:ascii="Verdana" w:hAnsi="Verdana"/>
          <w:b/>
          <w:bCs/>
        </w:rPr>
        <w:t xml:space="preserve">Visto </w:t>
      </w:r>
      <w:r>
        <w:rPr>
          <w:rFonts w:ascii="Verdana" w:hAnsi="Verdana"/>
        </w:rPr>
        <w:t xml:space="preserve">            il </w:t>
      </w:r>
      <w:proofErr w:type="spellStart"/>
      <w:r>
        <w:rPr>
          <w:rFonts w:ascii="Verdana" w:hAnsi="Verdana"/>
        </w:rPr>
        <w:t>D.Lgs.</w:t>
      </w:r>
      <w:proofErr w:type="spellEnd"/>
      <w:r>
        <w:rPr>
          <w:rFonts w:ascii="Verdana" w:hAnsi="Verdana"/>
        </w:rPr>
        <w:t xml:space="preserve"> 30 marzo 2001 n. 165, che approva le norme generali sull’ordinamento del lavoro alle dipendenze delle amministrazioni pubbliche e successive modifiche e integrazioni; </w:t>
      </w:r>
    </w:p>
    <w:p w14:paraId="267CCF1A" w14:textId="77777777" w:rsidR="00B32004" w:rsidRDefault="00B32004" w:rsidP="00B32004">
      <w:pPr>
        <w:spacing w:after="0" w:line="240" w:lineRule="exact"/>
        <w:ind w:left="1701" w:hanging="1701"/>
        <w:jc w:val="both"/>
        <w:rPr>
          <w:rFonts w:ascii="Verdana" w:hAnsi="Verdana"/>
        </w:rPr>
      </w:pPr>
    </w:p>
    <w:p w14:paraId="1D21DE95" w14:textId="77777777" w:rsidR="00B32004" w:rsidRDefault="00B32004" w:rsidP="00B32004">
      <w:pPr>
        <w:spacing w:before="100" w:beforeAutospacing="1" w:after="0" w:line="240" w:lineRule="exact"/>
        <w:ind w:left="1701" w:hanging="1701"/>
        <w:contextualSpacing/>
        <w:jc w:val="both"/>
        <w:rPr>
          <w:rFonts w:ascii="Verdana" w:hAnsi="Verdana"/>
          <w:b/>
          <w:bCs/>
        </w:rPr>
      </w:pPr>
    </w:p>
    <w:p w14:paraId="3764AE34" w14:textId="77777777" w:rsidR="00B32004" w:rsidRDefault="00B32004" w:rsidP="00B32004">
      <w:pPr>
        <w:spacing w:after="0" w:line="240" w:lineRule="exact"/>
        <w:ind w:left="1701" w:hanging="1701"/>
        <w:jc w:val="both"/>
        <w:rPr>
          <w:rStyle w:val="st"/>
        </w:rPr>
      </w:pPr>
      <w:r>
        <w:rPr>
          <w:rFonts w:ascii="Verdana" w:hAnsi="Verdana"/>
          <w:b/>
          <w:bCs/>
        </w:rPr>
        <w:t>Vista</w:t>
      </w:r>
      <w:r>
        <w:rPr>
          <w:rFonts w:ascii="Verdana" w:hAnsi="Verdana"/>
        </w:rPr>
        <w:t xml:space="preserve">             la Legge n. 241/1990 e </w:t>
      </w:r>
      <w:proofErr w:type="spellStart"/>
      <w:r>
        <w:rPr>
          <w:rFonts w:ascii="Verdana" w:hAnsi="Verdana"/>
        </w:rPr>
        <w:t>ss.mm.ii</w:t>
      </w:r>
      <w:proofErr w:type="spellEnd"/>
      <w:r>
        <w:rPr>
          <w:rFonts w:ascii="Verdana" w:hAnsi="Verdana"/>
        </w:rPr>
        <w:t xml:space="preserve">. </w:t>
      </w:r>
      <w:r>
        <w:rPr>
          <w:rStyle w:val="st"/>
          <w:rFonts w:ascii="Verdana" w:hAnsi="Verdana"/>
        </w:rPr>
        <w:t>“nuove norme in materia di procedimento amministrativo e di diritto di accesso ai documenti amministrativi”;</w:t>
      </w:r>
    </w:p>
    <w:p w14:paraId="2C7BE3F3" w14:textId="77777777" w:rsidR="00B32004" w:rsidRDefault="00B32004" w:rsidP="00B32004">
      <w:pPr>
        <w:spacing w:after="0" w:line="240" w:lineRule="exact"/>
        <w:ind w:left="1701" w:hanging="1701"/>
        <w:jc w:val="both"/>
      </w:pPr>
    </w:p>
    <w:p w14:paraId="27E499B3" w14:textId="77777777" w:rsidR="00B32004" w:rsidRDefault="00B32004" w:rsidP="00B32004">
      <w:pPr>
        <w:spacing w:after="0" w:line="240" w:lineRule="exact"/>
        <w:ind w:left="1701" w:hanging="1701"/>
        <w:jc w:val="both"/>
        <w:rPr>
          <w:rFonts w:ascii="Verdana" w:hAnsi="Verdana"/>
        </w:rPr>
      </w:pPr>
      <w:r>
        <w:rPr>
          <w:rFonts w:ascii="Verdana" w:hAnsi="Verdana"/>
          <w:b/>
          <w:bCs/>
        </w:rPr>
        <w:t>Visto</w:t>
      </w:r>
      <w:r>
        <w:rPr>
          <w:rFonts w:ascii="Verdana" w:hAnsi="Verdana"/>
        </w:rPr>
        <w:t xml:space="preserve">             il D.P.R. 27 febbraio 2003 n. 97 di emanazione del Regolamento di amministrazione e contabilità degli enti pubblici di cui alla legge 20 marzo 1975, n. 70;</w:t>
      </w:r>
    </w:p>
    <w:p w14:paraId="07E93941" w14:textId="77777777" w:rsidR="00B32004" w:rsidRDefault="00B32004" w:rsidP="00B32004">
      <w:pPr>
        <w:spacing w:after="0" w:line="240" w:lineRule="exact"/>
        <w:ind w:left="1701" w:hanging="1701"/>
        <w:jc w:val="both"/>
        <w:rPr>
          <w:rFonts w:ascii="Verdana" w:hAnsi="Verdana"/>
        </w:rPr>
      </w:pPr>
    </w:p>
    <w:p w14:paraId="19462232" w14:textId="77777777" w:rsidR="00B32004" w:rsidRDefault="00B32004" w:rsidP="00B32004">
      <w:pPr>
        <w:spacing w:after="0" w:line="240" w:lineRule="exact"/>
        <w:ind w:left="1701" w:hanging="1701"/>
        <w:jc w:val="both"/>
        <w:rPr>
          <w:rFonts w:ascii="Verdana" w:hAnsi="Verdana"/>
        </w:rPr>
      </w:pPr>
      <w:r>
        <w:rPr>
          <w:rFonts w:ascii="Verdana" w:hAnsi="Verdana"/>
          <w:b/>
          <w:bCs/>
        </w:rPr>
        <w:t>Visto</w:t>
      </w:r>
      <w:r>
        <w:rPr>
          <w:rFonts w:ascii="Verdana" w:hAnsi="Verdana"/>
        </w:rPr>
        <w:t xml:space="preserve">              il Regolamento di amministrazione e di contabilità dell’INPS, approvato con la deliberazione del Consiglio di Amministrazione n. 172 del 18/05/2005;</w:t>
      </w:r>
    </w:p>
    <w:p w14:paraId="329A98C1" w14:textId="77777777" w:rsidR="00B32004" w:rsidRDefault="00B32004" w:rsidP="00B32004">
      <w:pPr>
        <w:spacing w:after="0" w:line="240" w:lineRule="exact"/>
        <w:ind w:left="1701" w:hanging="1701"/>
        <w:contextualSpacing/>
        <w:jc w:val="both"/>
        <w:rPr>
          <w:rFonts w:ascii="Verdana" w:hAnsi="Verdana"/>
        </w:rPr>
      </w:pPr>
    </w:p>
    <w:p w14:paraId="6FE2ED9E" w14:textId="77777777" w:rsidR="00B32004" w:rsidRDefault="00B32004" w:rsidP="00B32004">
      <w:pPr>
        <w:spacing w:after="0" w:line="240" w:lineRule="exact"/>
        <w:ind w:left="1701" w:hanging="1701"/>
        <w:contextualSpacing/>
        <w:jc w:val="both"/>
        <w:rPr>
          <w:rFonts w:ascii="Verdana" w:hAnsi="Verdana"/>
        </w:rPr>
      </w:pPr>
      <w:r>
        <w:rPr>
          <w:rFonts w:ascii="Verdana" w:hAnsi="Verdana"/>
          <w:b/>
          <w:bCs/>
        </w:rPr>
        <w:t xml:space="preserve">Visto </w:t>
      </w:r>
      <w:r>
        <w:rPr>
          <w:rFonts w:ascii="Verdana" w:hAnsi="Verdana"/>
        </w:rPr>
        <w:t>            l’art. 21, comma 1, del D.L. 6/12/2011 n. 201 convertito in Legge 22/12/2011 n. 214, che ha disposto la soppressione dell’Inpdap e dell’Enpals e la loro confluenza nell’Inps che succede in tutti i rapporti attivi e passivi in capo agli Enti medesimi alla data del 1/1/2012;</w:t>
      </w:r>
    </w:p>
    <w:p w14:paraId="6FC2A781" w14:textId="77777777" w:rsidR="00B32004" w:rsidRDefault="00B32004" w:rsidP="00B32004">
      <w:pPr>
        <w:spacing w:after="0" w:line="240" w:lineRule="exact"/>
        <w:ind w:left="1701" w:hanging="1701"/>
        <w:contextualSpacing/>
        <w:jc w:val="both"/>
        <w:rPr>
          <w:rFonts w:ascii="Verdana" w:hAnsi="Verdana"/>
        </w:rPr>
      </w:pPr>
    </w:p>
    <w:p w14:paraId="19A0E94A" w14:textId="6CF5763D" w:rsidR="00B32004" w:rsidRDefault="00B32004" w:rsidP="00B32004">
      <w:pPr>
        <w:spacing w:after="0" w:line="240" w:lineRule="exact"/>
        <w:ind w:left="1701" w:hanging="1701"/>
        <w:contextualSpacing/>
        <w:jc w:val="both"/>
        <w:rPr>
          <w:rFonts w:ascii="Verdana" w:hAnsi="Verdana"/>
          <w:color w:val="000000"/>
          <w:spacing w:val="-3"/>
        </w:rPr>
      </w:pPr>
      <w:r>
        <w:rPr>
          <w:rFonts w:ascii="Verdana" w:hAnsi="Verdana"/>
          <w:b/>
          <w:bCs/>
        </w:rPr>
        <w:t>Vista           </w:t>
      </w:r>
      <w:r w:rsidR="00D91C7D">
        <w:rPr>
          <w:rFonts w:ascii="Verdana" w:hAnsi="Verdana"/>
          <w:b/>
          <w:bCs/>
        </w:rPr>
        <w:t xml:space="preserve">  </w:t>
      </w:r>
      <w:r>
        <w:rPr>
          <w:rFonts w:ascii="Verdana" w:hAnsi="Verdana"/>
          <w:b/>
          <w:bCs/>
        </w:rPr>
        <w:t xml:space="preserve"> </w:t>
      </w:r>
      <w:r>
        <w:rPr>
          <w:rFonts w:ascii="Verdana" w:hAnsi="Verdana"/>
          <w:color w:val="000000"/>
          <w:spacing w:val="-3"/>
        </w:rPr>
        <w:t>la Legge 6 novembre 2012, n. 190, recante</w:t>
      </w:r>
      <w:proofErr w:type="gramStart"/>
      <w:r>
        <w:rPr>
          <w:rFonts w:ascii="Verdana" w:hAnsi="Verdana"/>
          <w:color w:val="000000"/>
          <w:spacing w:val="-3"/>
        </w:rPr>
        <w:t>: ”</w:t>
      </w:r>
      <w:r>
        <w:rPr>
          <w:rFonts w:ascii="Verdana" w:hAnsi="Verdana"/>
          <w:i/>
          <w:iCs/>
          <w:color w:val="000000"/>
          <w:spacing w:val="-3"/>
        </w:rPr>
        <w:t>Disposizioni</w:t>
      </w:r>
      <w:proofErr w:type="gramEnd"/>
      <w:r>
        <w:rPr>
          <w:rFonts w:ascii="Verdana" w:hAnsi="Verdana"/>
          <w:i/>
          <w:iCs/>
          <w:color w:val="000000"/>
          <w:spacing w:val="-3"/>
        </w:rPr>
        <w:t xml:space="preserve"> per la prevenzione e la repressione della corruzione e dell'illegalità nella pubblica amministrazione</w:t>
      </w:r>
      <w:r>
        <w:rPr>
          <w:rFonts w:ascii="Verdana" w:hAnsi="Verdana"/>
          <w:color w:val="000000"/>
          <w:spacing w:val="-3"/>
        </w:rPr>
        <w:t>” e in particolare l’art. 1, comma 8, il quale prevede che l'organo di indirizzo politico adotti, su proposta del Responsabile della prevenzione della corruzione, entro il 31 gennaio di ogni anno, il Piano triennale per la prevenzione della corruzione  PTPC;</w:t>
      </w:r>
    </w:p>
    <w:p w14:paraId="4D22853D" w14:textId="77777777" w:rsidR="00B32004" w:rsidRDefault="00B32004" w:rsidP="00B32004">
      <w:pPr>
        <w:spacing w:after="0" w:line="240" w:lineRule="exact"/>
        <w:ind w:left="1701" w:hanging="1701"/>
        <w:contextualSpacing/>
        <w:jc w:val="both"/>
        <w:rPr>
          <w:rFonts w:ascii="Verdana" w:hAnsi="Verdana"/>
          <w:b/>
          <w:bCs/>
        </w:rPr>
      </w:pPr>
    </w:p>
    <w:p w14:paraId="405E4855" w14:textId="77777777" w:rsidR="00B32004" w:rsidRDefault="00B32004" w:rsidP="00B32004">
      <w:pPr>
        <w:spacing w:after="0" w:line="240" w:lineRule="exact"/>
        <w:ind w:left="1701" w:hanging="1701"/>
        <w:contextualSpacing/>
        <w:jc w:val="both"/>
        <w:rPr>
          <w:rFonts w:ascii="Verdana" w:hAnsi="Verdana"/>
        </w:rPr>
      </w:pPr>
      <w:r>
        <w:rPr>
          <w:rFonts w:ascii="Verdana" w:hAnsi="Verdana"/>
          <w:b/>
          <w:bCs/>
        </w:rPr>
        <w:t>Vista</w:t>
      </w:r>
      <w:r>
        <w:rPr>
          <w:rFonts w:ascii="Verdana" w:hAnsi="Verdana"/>
        </w:rPr>
        <w:t>             la Determinazione presidenziale n. 14 del 20 gennaio 2020 e la Deliberazione del Consiglio di Indirizzo e Vigilanza n. 4 del 24 marzo 2020, con cui l’Istituto ha adottato il Piano Triennale di Prevenzione della Corruzione (PTPC) relativo al triennio 2020 – 2022;</w:t>
      </w:r>
    </w:p>
    <w:p w14:paraId="7C09B02E" w14:textId="77777777" w:rsidR="00B32004" w:rsidRDefault="00B32004" w:rsidP="00B32004">
      <w:pPr>
        <w:spacing w:after="0" w:line="240" w:lineRule="exact"/>
        <w:ind w:left="1701" w:hanging="1701"/>
        <w:contextualSpacing/>
        <w:jc w:val="both"/>
        <w:rPr>
          <w:rFonts w:ascii="Verdana" w:hAnsi="Verdana"/>
          <w:color w:val="000000"/>
          <w:spacing w:val="-3"/>
        </w:rPr>
      </w:pPr>
    </w:p>
    <w:p w14:paraId="1AB8C39B" w14:textId="41A36F77" w:rsidR="00B32004" w:rsidRDefault="00B32004" w:rsidP="00B32004">
      <w:pPr>
        <w:spacing w:after="0" w:line="240" w:lineRule="auto"/>
        <w:ind w:left="1701" w:hanging="1701"/>
        <w:contextualSpacing/>
        <w:jc w:val="both"/>
        <w:rPr>
          <w:rFonts w:ascii="Verdana" w:hAnsi="Verdana"/>
        </w:rPr>
      </w:pPr>
      <w:r>
        <w:rPr>
          <w:rFonts w:ascii="Verdana" w:hAnsi="Verdana"/>
          <w:b/>
          <w:bCs/>
        </w:rPr>
        <w:t>Visto</w:t>
      </w:r>
      <w:r>
        <w:rPr>
          <w:rFonts w:ascii="Verdana" w:hAnsi="Verdana"/>
        </w:rPr>
        <w:t>            </w:t>
      </w:r>
      <w:r w:rsidR="00AA69C7">
        <w:rPr>
          <w:rFonts w:ascii="Verdana" w:hAnsi="Verdana"/>
        </w:rPr>
        <w:t xml:space="preserve"> </w:t>
      </w:r>
      <w:r>
        <w:rPr>
          <w:rFonts w:ascii="Verdana" w:hAnsi="Verdana"/>
        </w:rPr>
        <w:t>il Regolamento di Organizzazione dell’Istituto adottato con determinazione presidenziale n. 89 del 30 giugno 2016, come modificato con determinazioni n. 100 e n. 132 del 2016 e da ultimo con Determina Presidenziale n.125 del 26 luglio 2017;</w:t>
      </w:r>
    </w:p>
    <w:p w14:paraId="3D34E48E" w14:textId="77777777" w:rsidR="00B32004" w:rsidRDefault="00B32004" w:rsidP="00B32004">
      <w:pPr>
        <w:spacing w:before="100" w:beforeAutospacing="1" w:after="100" w:afterAutospacing="1" w:line="240" w:lineRule="auto"/>
        <w:ind w:left="1701" w:hanging="1701"/>
        <w:jc w:val="both"/>
        <w:rPr>
          <w:rFonts w:ascii="Verdana" w:hAnsi="Verdana"/>
        </w:rPr>
      </w:pPr>
      <w:r>
        <w:rPr>
          <w:rFonts w:ascii="Verdana" w:hAnsi="Verdana"/>
          <w:b/>
          <w:bCs/>
        </w:rPr>
        <w:lastRenderedPageBreak/>
        <w:t xml:space="preserve">Visto              </w:t>
      </w:r>
      <w:r>
        <w:rPr>
          <w:rFonts w:ascii="Verdana" w:hAnsi="Verdana"/>
        </w:rPr>
        <w:t xml:space="preserve">l’Ordinamento delle Funzioni centrali e territoriali dell’Istituto adottato con determinazione presidenziale n. 110 del 28.07.2016, come modificato con determinazioni n. 13, 118 e 125 del 2017; </w:t>
      </w:r>
    </w:p>
    <w:p w14:paraId="3130EDDC" w14:textId="77777777" w:rsidR="00B32004" w:rsidRDefault="00B32004" w:rsidP="00B32004">
      <w:pPr>
        <w:spacing w:before="100" w:beforeAutospacing="1" w:after="100" w:afterAutospacing="1" w:line="240" w:lineRule="auto"/>
        <w:ind w:left="1701" w:hanging="1701"/>
        <w:jc w:val="both"/>
        <w:rPr>
          <w:rFonts w:ascii="Verdana" w:hAnsi="Verdana"/>
        </w:rPr>
      </w:pPr>
      <w:r>
        <w:rPr>
          <w:rFonts w:ascii="Verdana" w:hAnsi="Verdana"/>
          <w:b/>
          <w:bCs/>
        </w:rPr>
        <w:t xml:space="preserve">Vista               </w:t>
      </w:r>
      <w:r>
        <w:rPr>
          <w:rFonts w:ascii="Verdana" w:hAnsi="Verdana"/>
        </w:rPr>
        <w:t>la Deliberazione n. 31 del 30 dicembre 2019, con la quale il Consiglio di Indirizzo e Vigilanza ha approvato in via definitiva il Bilancio preventivo finanziario generale di competenza e cassa ed economico-patrimoniale generale dell’INPS per l’esercizio 2020;</w:t>
      </w:r>
    </w:p>
    <w:p w14:paraId="3D21D555" w14:textId="77777777" w:rsidR="00B32004" w:rsidRPr="00653A15" w:rsidRDefault="00B32004" w:rsidP="00B32004">
      <w:pPr>
        <w:spacing w:after="0" w:line="240" w:lineRule="exact"/>
        <w:ind w:left="1701" w:hanging="1701"/>
        <w:contextualSpacing/>
        <w:jc w:val="both"/>
        <w:rPr>
          <w:rFonts w:ascii="Verdana" w:hAnsi="Verdana"/>
        </w:rPr>
      </w:pPr>
      <w:r>
        <w:rPr>
          <w:rFonts w:ascii="Verdana" w:hAnsi="Verdana"/>
          <w:b/>
          <w:bCs/>
        </w:rPr>
        <w:t>Visto</w:t>
      </w:r>
      <w:r>
        <w:rPr>
          <w:rFonts w:ascii="Verdana" w:hAnsi="Verdana"/>
        </w:rPr>
        <w:t>              il D.P.R. 22/05/</w:t>
      </w:r>
      <w:r w:rsidRPr="00653A15">
        <w:rPr>
          <w:rFonts w:ascii="Verdana" w:hAnsi="Verdana"/>
        </w:rPr>
        <w:t xml:space="preserve">2019 con il quale è stato nominato Presidente dell’INPS il professore Pasquale </w:t>
      </w:r>
      <w:proofErr w:type="spellStart"/>
      <w:r w:rsidRPr="00653A15">
        <w:rPr>
          <w:rFonts w:ascii="Verdana" w:hAnsi="Verdana"/>
        </w:rPr>
        <w:t>Tridico</w:t>
      </w:r>
      <w:proofErr w:type="spellEnd"/>
      <w:r w:rsidRPr="00653A15">
        <w:rPr>
          <w:rFonts w:ascii="Verdana" w:hAnsi="Verdana"/>
        </w:rPr>
        <w:t xml:space="preserve"> a decorrere dalla data del provvedimento medesimo;</w:t>
      </w:r>
    </w:p>
    <w:p w14:paraId="5601F17F" w14:textId="77777777" w:rsidR="00B32004" w:rsidRPr="00653A15" w:rsidRDefault="00B32004" w:rsidP="00B32004">
      <w:pPr>
        <w:spacing w:after="0" w:line="240" w:lineRule="exact"/>
        <w:ind w:left="1701" w:hanging="1701"/>
        <w:contextualSpacing/>
        <w:jc w:val="both"/>
        <w:rPr>
          <w:rFonts w:ascii="Verdana" w:hAnsi="Verdana"/>
          <w:b/>
          <w:bCs/>
        </w:rPr>
      </w:pPr>
    </w:p>
    <w:p w14:paraId="239A8A40" w14:textId="77777777" w:rsidR="00B32004" w:rsidRPr="00653A15" w:rsidRDefault="00B32004" w:rsidP="00B32004">
      <w:pPr>
        <w:spacing w:after="0" w:line="240" w:lineRule="exact"/>
        <w:ind w:left="1701" w:hanging="1701"/>
        <w:contextualSpacing/>
        <w:jc w:val="both"/>
        <w:rPr>
          <w:rFonts w:ascii="Verdana" w:hAnsi="Verdana"/>
        </w:rPr>
      </w:pPr>
      <w:r w:rsidRPr="00653A15">
        <w:rPr>
          <w:rFonts w:ascii="Verdana" w:hAnsi="Verdana"/>
          <w:b/>
          <w:bCs/>
        </w:rPr>
        <w:t>Visto</w:t>
      </w:r>
      <w:r w:rsidRPr="00653A15">
        <w:rPr>
          <w:rFonts w:ascii="Verdana" w:hAnsi="Verdana"/>
        </w:rPr>
        <w:t>              il D.M. del 13/1/2017, con il quale la dott.ssa Gabriella Di Michele è stata nominata Direttore generale dell’Inps, per la durata di cinque anni a decorrere dalla data del Decreto medesimo;</w:t>
      </w:r>
    </w:p>
    <w:p w14:paraId="7AB68F6A" w14:textId="77777777" w:rsidR="00B32004" w:rsidRPr="00653A15" w:rsidRDefault="00B32004" w:rsidP="00B32004">
      <w:pPr>
        <w:spacing w:after="0" w:line="240" w:lineRule="exact"/>
        <w:ind w:left="1701" w:hanging="1701"/>
        <w:contextualSpacing/>
        <w:jc w:val="both"/>
        <w:rPr>
          <w:rFonts w:ascii="Verdana" w:hAnsi="Verdana"/>
        </w:rPr>
      </w:pPr>
    </w:p>
    <w:p w14:paraId="48A8D15D" w14:textId="16E34246" w:rsidR="00B32004" w:rsidRPr="00653A15" w:rsidRDefault="00B32004" w:rsidP="00B32004">
      <w:pPr>
        <w:spacing w:after="0" w:line="240" w:lineRule="exact"/>
        <w:ind w:left="1701" w:hanging="1701"/>
        <w:contextualSpacing/>
        <w:jc w:val="both"/>
        <w:rPr>
          <w:rFonts w:ascii="Verdana" w:hAnsi="Verdana"/>
        </w:rPr>
      </w:pPr>
      <w:r w:rsidRPr="00653A15">
        <w:rPr>
          <w:rFonts w:ascii="Verdana" w:hAnsi="Verdana"/>
          <w:b/>
          <w:bCs/>
        </w:rPr>
        <w:t>Vista</w:t>
      </w:r>
      <w:r w:rsidRPr="00653A15">
        <w:rPr>
          <w:rFonts w:ascii="Verdana" w:hAnsi="Verdana"/>
        </w:rPr>
        <w:t xml:space="preserve">             </w:t>
      </w:r>
      <w:r w:rsidR="0034445B" w:rsidRPr="00653A15">
        <w:rPr>
          <w:rFonts w:ascii="Verdana" w:hAnsi="Verdana"/>
        </w:rPr>
        <w:t xml:space="preserve"> </w:t>
      </w:r>
      <w:r w:rsidRPr="00653A15">
        <w:rPr>
          <w:rFonts w:ascii="Verdana" w:hAnsi="Verdana"/>
        </w:rPr>
        <w:t>la Determinazione n. 160 dell’11.12.2019 con cui l’Organo munito dei poteri del Consiglio di Amministrazione dell’INPS ha attribuito al dott. Paolo Sardi l’incarico dirigenziale di livello generale “Direzione regionale Friuli Venezia Giulia” per la durata di tre anni a decorrere dal 16 dicembre 2019;</w:t>
      </w:r>
    </w:p>
    <w:p w14:paraId="0F74C05E" w14:textId="77777777" w:rsidR="00B32004" w:rsidRPr="00653A15" w:rsidRDefault="00B32004" w:rsidP="00B32004">
      <w:pPr>
        <w:spacing w:after="0" w:line="240" w:lineRule="exact"/>
        <w:ind w:left="1701" w:hanging="1701"/>
        <w:contextualSpacing/>
        <w:jc w:val="both"/>
        <w:rPr>
          <w:rFonts w:ascii="Verdana" w:hAnsi="Verdana"/>
        </w:rPr>
      </w:pPr>
    </w:p>
    <w:p w14:paraId="0D0498FD" w14:textId="77777777" w:rsidR="00B32004" w:rsidRDefault="00B32004" w:rsidP="00B32004">
      <w:pPr>
        <w:spacing w:after="0" w:line="240" w:lineRule="auto"/>
        <w:ind w:left="1701" w:hanging="1701"/>
        <w:jc w:val="both"/>
        <w:rPr>
          <w:rFonts w:ascii="Verdana" w:hAnsi="Verdana"/>
          <w:spacing w:val="4"/>
        </w:rPr>
      </w:pPr>
      <w:r w:rsidRPr="00653A15">
        <w:rPr>
          <w:rFonts w:ascii="Verdana" w:hAnsi="Verdana"/>
          <w:b/>
          <w:bCs/>
        </w:rPr>
        <w:t xml:space="preserve">Visto              </w:t>
      </w:r>
      <w:r w:rsidRPr="00653A15">
        <w:rPr>
          <w:rFonts w:ascii="Verdana" w:hAnsi="Verdana"/>
          <w:spacing w:val="4"/>
        </w:rPr>
        <w:t>il provvedimento del Direttore Generale INPS n. 10 del 27.01.2020, con il quale l’Arch. Marcello Perazzo è stato nominato</w:t>
      </w:r>
      <w:r>
        <w:rPr>
          <w:rFonts w:ascii="Verdana" w:hAnsi="Verdana"/>
          <w:spacing w:val="4"/>
        </w:rPr>
        <w:t xml:space="preserve"> Coordinatore Tecnico Edilizio per la Direzione regionale INPS FVG per il periodo di tre anni a decorrere dal 1° febbraio 2020; </w:t>
      </w:r>
    </w:p>
    <w:p w14:paraId="046DD64A" w14:textId="77777777" w:rsidR="00B32004" w:rsidRDefault="00B32004" w:rsidP="00B32004">
      <w:pPr>
        <w:spacing w:after="0" w:line="240" w:lineRule="auto"/>
        <w:ind w:left="1701" w:hanging="1701"/>
        <w:jc w:val="both"/>
        <w:rPr>
          <w:rFonts w:ascii="Verdana" w:hAnsi="Verdana"/>
          <w:b/>
          <w:bCs/>
        </w:rPr>
      </w:pPr>
    </w:p>
    <w:p w14:paraId="04C28717" w14:textId="77777777" w:rsidR="00B32004" w:rsidRDefault="00B32004" w:rsidP="00B32004">
      <w:pPr>
        <w:spacing w:after="0" w:line="240" w:lineRule="auto"/>
        <w:ind w:left="1701" w:hanging="1701"/>
        <w:jc w:val="both"/>
        <w:rPr>
          <w:rFonts w:ascii="Verdana" w:hAnsi="Verdana"/>
        </w:rPr>
      </w:pPr>
      <w:proofErr w:type="gramStart"/>
      <w:r>
        <w:rPr>
          <w:rFonts w:ascii="Verdana" w:hAnsi="Verdana"/>
          <w:b/>
          <w:bCs/>
        </w:rPr>
        <w:t xml:space="preserve">Considerato  </w:t>
      </w:r>
      <w:r>
        <w:rPr>
          <w:rFonts w:ascii="Verdana" w:hAnsi="Verdana"/>
        </w:rPr>
        <w:t>che</w:t>
      </w:r>
      <w:proofErr w:type="gramEnd"/>
      <w:r>
        <w:rPr>
          <w:rFonts w:ascii="Verdana" w:hAnsi="Verdana"/>
        </w:rPr>
        <w:t xml:space="preserve"> il</w:t>
      </w:r>
      <w:r>
        <w:rPr>
          <w:rFonts w:ascii="Verdana" w:hAnsi="Verdana"/>
          <w:b/>
          <w:bCs/>
        </w:rPr>
        <w:t xml:space="preserve"> </w:t>
      </w:r>
      <w:r>
        <w:rPr>
          <w:rFonts w:ascii="Verdana" w:hAnsi="Verdana"/>
        </w:rPr>
        <w:t>gruppo di lavoro incaricato dal CGTE con proprio atto del 11.04.2018 non ha ad oggi prodotto un progetto unitario appaltabile ma solo diversi studi e approfondimenti separati per le varie specifiche componenti impiantistiche ed edili i quali, però, possono comunque risultare utili ai fini del ripristino della funzionalità dello stabile di via Ghiberti n.4 in Trieste;</w:t>
      </w:r>
    </w:p>
    <w:p w14:paraId="35C5254B" w14:textId="77777777" w:rsidR="00B32004" w:rsidRDefault="00B32004" w:rsidP="00B32004">
      <w:pPr>
        <w:spacing w:after="0" w:line="240" w:lineRule="auto"/>
        <w:ind w:left="1701" w:hanging="1701"/>
        <w:jc w:val="both"/>
        <w:rPr>
          <w:rFonts w:ascii="Verdana" w:hAnsi="Verdana"/>
          <w:spacing w:val="4"/>
        </w:rPr>
      </w:pPr>
    </w:p>
    <w:p w14:paraId="673480F7" w14:textId="48D92A41" w:rsidR="00B32004" w:rsidRDefault="00B32004" w:rsidP="00B32004">
      <w:pPr>
        <w:spacing w:after="0"/>
        <w:ind w:left="1701" w:hanging="1701"/>
        <w:jc w:val="both"/>
        <w:rPr>
          <w:rFonts w:ascii="Verdana" w:hAnsi="Verdana"/>
          <w:color w:val="000000"/>
          <w:spacing w:val="4"/>
        </w:rPr>
      </w:pPr>
      <w:r>
        <w:rPr>
          <w:rFonts w:ascii="Verdana" w:hAnsi="Verdana"/>
          <w:b/>
          <w:bCs/>
        </w:rPr>
        <w:t>Vista             </w:t>
      </w:r>
      <w:r>
        <w:rPr>
          <w:rFonts w:ascii="Verdana" w:hAnsi="Verdana"/>
          <w:spacing w:val="4"/>
        </w:rPr>
        <w:t xml:space="preserve">la disponibilità manifestata dal CGTE con PEI </w:t>
      </w:r>
      <w:r w:rsidRPr="00653A15">
        <w:rPr>
          <w:rFonts w:ascii="Verdana" w:hAnsi="Verdana"/>
          <w:spacing w:val="4"/>
        </w:rPr>
        <w:t xml:space="preserve">INPS.0020.17/04/2020.0001781 a fornire ulteriore supporto alla </w:t>
      </w:r>
      <w:r w:rsidRPr="00653A15">
        <w:rPr>
          <w:rFonts w:ascii="Verdana" w:hAnsi="Verdana"/>
          <w:color w:val="000000"/>
          <w:spacing w:val="4"/>
        </w:rPr>
        <w:t>Direzione regionale Friuli Venezia Giulia attraverso l’Arch. Dario Luciani – Coordinatore Tecnico Centrale dell’Ufficio 5° “Logistica e decentramento”- quale RUP di uno o più interventi su Via Ghiberti n.4, allo</w:t>
      </w:r>
      <w:r>
        <w:rPr>
          <w:rFonts w:ascii="Verdana" w:hAnsi="Verdana"/>
          <w:color w:val="000000"/>
          <w:spacing w:val="4"/>
        </w:rPr>
        <w:t xml:space="preserve"> scopo di affiancare l’Arch. Marcello Perazzo - Coordinatore Tecnico Regionale Friuli Venezia Giulia - per consentirgli di rivestire ruoli operativi di progettista, direttore dei lavori e sicurezza, considerata la sua presenza sul campo e la necessità di conseguire il risultato nei tempi previsti;</w:t>
      </w:r>
    </w:p>
    <w:p w14:paraId="644471F3" w14:textId="77777777" w:rsidR="00B32004" w:rsidRDefault="00B32004" w:rsidP="00B32004">
      <w:pPr>
        <w:spacing w:after="0"/>
        <w:ind w:left="1701" w:hanging="1701"/>
        <w:jc w:val="both"/>
        <w:rPr>
          <w:rFonts w:ascii="Verdana" w:hAnsi="Verdana"/>
          <w:b/>
          <w:bCs/>
          <w:color w:val="000000"/>
        </w:rPr>
      </w:pPr>
    </w:p>
    <w:p w14:paraId="30D45889" w14:textId="77777777" w:rsidR="00B32004" w:rsidRDefault="00B32004" w:rsidP="00B32004">
      <w:pPr>
        <w:spacing w:after="0"/>
        <w:ind w:left="1701" w:hanging="1701"/>
        <w:jc w:val="both"/>
        <w:rPr>
          <w:rFonts w:ascii="Verdana" w:hAnsi="Verdana"/>
        </w:rPr>
      </w:pPr>
      <w:r>
        <w:rPr>
          <w:rFonts w:ascii="Verdana" w:hAnsi="Verdana"/>
          <w:b/>
          <w:bCs/>
        </w:rPr>
        <w:t xml:space="preserve">Richiamato   </w:t>
      </w:r>
      <w:r>
        <w:rPr>
          <w:rFonts w:ascii="Verdana" w:hAnsi="Verdana"/>
        </w:rPr>
        <w:t xml:space="preserve">il PTL2020-01-FVG-0022 di competenza della Direzione regionale INPS FVG riguardante le opere edili, di manutenzione straordinaria e di riqualificazione energetica dell’immobile ubicato in Trieste alla via Lorenzo Ghiberti n. 4, da destinare a sede della Direzione provinciale INPS di Trieste, che è attualmente collocata in via Sant’ Anastasio n. 5; </w:t>
      </w:r>
    </w:p>
    <w:p w14:paraId="5D5550C4" w14:textId="77777777" w:rsidR="00B32004" w:rsidRDefault="00B32004" w:rsidP="00B32004">
      <w:pPr>
        <w:pStyle w:val="NormaleWeb"/>
        <w:ind w:left="1701" w:hanging="1701"/>
        <w:jc w:val="both"/>
        <w:rPr>
          <w:rFonts w:ascii="Verdana" w:hAnsi="Verdana"/>
        </w:rPr>
      </w:pPr>
      <w:r>
        <w:rPr>
          <w:rFonts w:ascii="Verdana" w:hAnsi="Verdana"/>
          <w:b/>
          <w:bCs/>
        </w:rPr>
        <w:lastRenderedPageBreak/>
        <w:t xml:space="preserve">Dato atto       </w:t>
      </w:r>
      <w:r>
        <w:rPr>
          <w:rFonts w:ascii="Verdana" w:hAnsi="Verdana"/>
        </w:rPr>
        <w:t>che i lavori che la Direzione regionale INPS FVG è tenuta a eseguire sullo stabile INPS di Trieste in via Lorenzo Ghiberti n.4, sono stati inseriti nello strumento di programmazione finanziaria all’interno dell’Elenco Annuale dei Lavori (EAL) relativo al Programma Triennale dei Lavori 2020-2022 (PTL) con il n. PTL 2020-01-FVG-0022, a valere sul capitolo di spesa 5U211201007 per l’esercizio finanziario 2020;</w:t>
      </w:r>
    </w:p>
    <w:p w14:paraId="2D08569B" w14:textId="77777777" w:rsidR="00B32004" w:rsidRDefault="00B32004" w:rsidP="00B32004">
      <w:pPr>
        <w:spacing w:after="0"/>
        <w:ind w:left="1701" w:hanging="1701"/>
        <w:jc w:val="both"/>
        <w:rPr>
          <w:rFonts w:ascii="Verdana" w:hAnsi="Verdana"/>
        </w:rPr>
      </w:pPr>
    </w:p>
    <w:p w14:paraId="33EF4543" w14:textId="77777777" w:rsidR="00B32004" w:rsidRDefault="00B32004" w:rsidP="00B32004">
      <w:pPr>
        <w:spacing w:after="0"/>
        <w:ind w:left="1701" w:hanging="1701"/>
        <w:jc w:val="both"/>
        <w:rPr>
          <w:rFonts w:ascii="Verdana" w:hAnsi="Verdana"/>
        </w:rPr>
      </w:pPr>
      <w:r>
        <w:rPr>
          <w:rFonts w:ascii="Verdana" w:hAnsi="Verdana"/>
          <w:b/>
          <w:bCs/>
        </w:rPr>
        <w:t>Considerato</w:t>
      </w:r>
      <w:r>
        <w:rPr>
          <w:rFonts w:ascii="Verdana" w:hAnsi="Verdana"/>
        </w:rPr>
        <w:t>   che l’immobile di via Sant’ Anastasio n.</w:t>
      </w:r>
      <w:r>
        <w:rPr>
          <w:rFonts w:ascii="Verdana" w:hAnsi="Verdana"/>
          <w:b/>
          <w:bCs/>
        </w:rPr>
        <w:t xml:space="preserve"> </w:t>
      </w:r>
      <w:r>
        <w:rPr>
          <w:rFonts w:ascii="Verdana" w:hAnsi="Verdana"/>
        </w:rPr>
        <w:t>5 in Trieste appartiene al Fondo Immobili Pubblici c.d. FIP, compendio costituito da immobili di proprietà, tra gli altri, degli enti pubblici di previdenza e di assistenza, in applicazione dell’art. 4 del D.L. 351/2001 convertito con modificazioni con la legge n. 410/2001;</w:t>
      </w:r>
    </w:p>
    <w:p w14:paraId="7D40E3B8" w14:textId="77777777" w:rsidR="00B32004" w:rsidRDefault="00B32004" w:rsidP="00B32004">
      <w:pPr>
        <w:spacing w:after="0"/>
        <w:ind w:left="1701" w:hanging="1701"/>
        <w:jc w:val="both"/>
        <w:rPr>
          <w:rFonts w:ascii="Verdana" w:hAnsi="Verdana"/>
        </w:rPr>
      </w:pPr>
    </w:p>
    <w:p w14:paraId="3D6CF584" w14:textId="77777777" w:rsidR="00B32004" w:rsidRDefault="00B32004" w:rsidP="00B32004">
      <w:pPr>
        <w:spacing w:after="0"/>
        <w:ind w:left="1701"/>
        <w:jc w:val="both"/>
        <w:rPr>
          <w:rFonts w:ascii="Verdana" w:hAnsi="Verdana"/>
        </w:rPr>
      </w:pPr>
      <w:r>
        <w:rPr>
          <w:rFonts w:ascii="Verdana" w:hAnsi="Verdana"/>
        </w:rPr>
        <w:t xml:space="preserve">che, in base alla normativa di specie, </w:t>
      </w:r>
      <w:proofErr w:type="gramStart"/>
      <w:r>
        <w:rPr>
          <w:rFonts w:ascii="Verdana" w:hAnsi="Verdana"/>
        </w:rPr>
        <w:t>l’ immobile</w:t>
      </w:r>
      <w:proofErr w:type="gramEnd"/>
      <w:r>
        <w:rPr>
          <w:rFonts w:ascii="Verdana" w:hAnsi="Verdana"/>
        </w:rPr>
        <w:t xml:space="preserve"> veniva assegnato all’ INPS dalla Agenzia del Demanio nella veste di “Conduttore unico” degli immobili FIP, affinché l’Istituto vi esercitasse le proprie attribuzioni istituzionali, quale ente utilizzatore;</w:t>
      </w:r>
    </w:p>
    <w:p w14:paraId="1813A38B" w14:textId="77777777" w:rsidR="00B32004" w:rsidRDefault="00B32004" w:rsidP="00B32004">
      <w:pPr>
        <w:spacing w:after="0"/>
        <w:ind w:left="1701"/>
        <w:jc w:val="both"/>
        <w:rPr>
          <w:rFonts w:ascii="Verdana" w:hAnsi="Verdana"/>
        </w:rPr>
      </w:pPr>
    </w:p>
    <w:p w14:paraId="4475D620" w14:textId="77777777" w:rsidR="00B32004" w:rsidRDefault="00B32004" w:rsidP="00B32004">
      <w:pPr>
        <w:spacing w:after="0"/>
        <w:ind w:left="1701"/>
        <w:jc w:val="both"/>
        <w:rPr>
          <w:rFonts w:ascii="Verdana" w:hAnsi="Verdana"/>
        </w:rPr>
      </w:pPr>
      <w:r>
        <w:rPr>
          <w:rFonts w:ascii="Verdana" w:hAnsi="Verdana"/>
        </w:rPr>
        <w:t>che, successivamente, l’immobile veniva venduto alla società denominata “</w:t>
      </w:r>
      <w:proofErr w:type="spellStart"/>
      <w:r>
        <w:rPr>
          <w:rFonts w:ascii="Verdana" w:hAnsi="Verdana"/>
        </w:rPr>
        <w:t>Savillis</w:t>
      </w:r>
      <w:proofErr w:type="spellEnd"/>
      <w:r>
        <w:rPr>
          <w:rFonts w:ascii="Verdana" w:hAnsi="Verdana"/>
        </w:rPr>
        <w:t xml:space="preserve"> Investment </w:t>
      </w:r>
      <w:proofErr w:type="gramStart"/>
      <w:r>
        <w:rPr>
          <w:rFonts w:ascii="Verdana" w:hAnsi="Verdana"/>
        </w:rPr>
        <w:t>Management“ SGR</w:t>
      </w:r>
      <w:proofErr w:type="gramEnd"/>
      <w:r>
        <w:rPr>
          <w:rFonts w:ascii="Verdana" w:hAnsi="Verdana"/>
        </w:rPr>
        <w:t xml:space="preserve"> spa, con sede in Milano via San Paolo n. 7, società che, in un secondo momento, stipulava un contratto di locazione con l’Istituto per lo svolgimento delle proprie funzioni istituzionali nell’immobile di via Sant’ Anastasio n.</w:t>
      </w:r>
      <w:r>
        <w:rPr>
          <w:rFonts w:ascii="Verdana" w:hAnsi="Verdana"/>
          <w:b/>
          <w:bCs/>
        </w:rPr>
        <w:t xml:space="preserve"> </w:t>
      </w:r>
      <w:r>
        <w:rPr>
          <w:rFonts w:ascii="Verdana" w:hAnsi="Verdana"/>
        </w:rPr>
        <w:t>5 in Trieste;</w:t>
      </w:r>
    </w:p>
    <w:p w14:paraId="77A4602A" w14:textId="77777777" w:rsidR="00B32004" w:rsidRDefault="00B32004" w:rsidP="00B32004">
      <w:pPr>
        <w:spacing w:after="0"/>
        <w:ind w:left="1701"/>
        <w:jc w:val="both"/>
        <w:rPr>
          <w:rFonts w:ascii="Verdana" w:hAnsi="Verdana"/>
        </w:rPr>
      </w:pPr>
      <w:r>
        <w:rPr>
          <w:rFonts w:ascii="Verdana" w:hAnsi="Verdana"/>
        </w:rPr>
        <w:t xml:space="preserve">che la scadenza della locazione passiva per l’Istituto è prevista il giorno 29/12/2022; </w:t>
      </w:r>
    </w:p>
    <w:p w14:paraId="780A2397" w14:textId="77777777" w:rsidR="00B32004" w:rsidRDefault="00B32004" w:rsidP="00B32004">
      <w:pPr>
        <w:spacing w:after="0"/>
        <w:ind w:left="1701"/>
        <w:jc w:val="both"/>
        <w:rPr>
          <w:rFonts w:ascii="Verdana" w:hAnsi="Verdana"/>
        </w:rPr>
      </w:pPr>
    </w:p>
    <w:p w14:paraId="38044D45" w14:textId="7A823E7C" w:rsidR="00B32004" w:rsidRDefault="00B32004" w:rsidP="00B32004">
      <w:pPr>
        <w:spacing w:after="0"/>
        <w:ind w:left="1701" w:hanging="1843"/>
        <w:jc w:val="both"/>
        <w:rPr>
          <w:rFonts w:ascii="Verdana" w:hAnsi="Verdana"/>
        </w:rPr>
      </w:pPr>
      <w:r>
        <w:rPr>
          <w:rFonts w:ascii="Verdana" w:hAnsi="Verdana"/>
        </w:rPr>
        <w:t xml:space="preserve">   </w:t>
      </w:r>
      <w:r>
        <w:rPr>
          <w:rFonts w:ascii="Verdana" w:hAnsi="Verdana"/>
          <w:b/>
          <w:bCs/>
        </w:rPr>
        <w:t>Dato atto</w:t>
      </w:r>
      <w:r>
        <w:rPr>
          <w:rFonts w:ascii="Verdana" w:hAnsi="Verdana"/>
        </w:rPr>
        <w:t>   </w:t>
      </w:r>
      <w:r w:rsidR="00D96726">
        <w:rPr>
          <w:rFonts w:ascii="Verdana" w:hAnsi="Verdana"/>
        </w:rPr>
        <w:t xml:space="preserve"> </w:t>
      </w:r>
      <w:r>
        <w:rPr>
          <w:rFonts w:ascii="Verdana" w:hAnsi="Verdana"/>
        </w:rPr>
        <w:t xml:space="preserve">che l’immobile dovrà essere rilasciato alla proprietà alla data del 29.12.2022 e che, di conseguenza, entro il medesimo termine, ad opera della Direzione regionale INPS FVG dovrà essere reperita -per essere resa funzionante e operativa- una nuova sede per la Direzione provinciale INPS di Trieste; </w:t>
      </w:r>
    </w:p>
    <w:p w14:paraId="18151BD2" w14:textId="77777777" w:rsidR="00B32004" w:rsidRDefault="00B32004" w:rsidP="00B32004">
      <w:pPr>
        <w:spacing w:after="0"/>
        <w:ind w:left="1701"/>
        <w:jc w:val="both"/>
        <w:rPr>
          <w:rFonts w:ascii="Verdana" w:hAnsi="Verdana"/>
        </w:rPr>
      </w:pPr>
      <w:r>
        <w:rPr>
          <w:rFonts w:ascii="Verdana" w:hAnsi="Verdana"/>
        </w:rPr>
        <w:t xml:space="preserve">che in seguito all’incorporamento nell’ INPS, </w:t>
      </w:r>
      <w:r>
        <w:rPr>
          <w:rFonts w:ascii="Verdana" w:hAnsi="Verdana"/>
          <w:i/>
          <w:iCs/>
        </w:rPr>
        <w:t>inter alia</w:t>
      </w:r>
      <w:r>
        <w:rPr>
          <w:rFonts w:ascii="Verdana" w:hAnsi="Verdana"/>
        </w:rPr>
        <w:t>, dell’INPDAP avvenuto in base al D.L. n. 201/2011 convertito con la legge n. 214/2011, l’immobile ubicato alla via Lorenzo Ghiberti n. 4 in Trieste, in origine di proprietà di quest’ultimo ente pubblico (l‘INPDAP) è entrato a fare parte del patrimonio immobiliare dell’INPS, e che esso è composto da una parte strumentale ed una condominiale, entrambe libere;</w:t>
      </w:r>
    </w:p>
    <w:p w14:paraId="7CD91343" w14:textId="77777777" w:rsidR="00B32004" w:rsidRDefault="00B32004" w:rsidP="00B32004">
      <w:pPr>
        <w:spacing w:after="0"/>
        <w:ind w:left="1701"/>
        <w:jc w:val="both"/>
        <w:rPr>
          <w:rFonts w:ascii="Verdana" w:hAnsi="Verdana"/>
        </w:rPr>
      </w:pPr>
    </w:p>
    <w:p w14:paraId="492A4EDE" w14:textId="5A38A383" w:rsidR="007A14D4" w:rsidRDefault="00B32004" w:rsidP="007A14D4">
      <w:pPr>
        <w:spacing w:after="0"/>
        <w:ind w:left="1701"/>
        <w:jc w:val="both"/>
        <w:rPr>
          <w:rFonts w:ascii="Verdana" w:hAnsi="Verdana"/>
        </w:rPr>
      </w:pPr>
      <w:r>
        <w:rPr>
          <w:rFonts w:ascii="Verdana" w:hAnsi="Verdana"/>
        </w:rPr>
        <w:t>che l’ edificio di via Ghiberti n. 4 è ubicato a poca distanza dall’ immobile FIP ove ha attualmente sede la Direzione provinciale in via Sant’ Anastasio n. 5 e che, in base a opportune e</w:t>
      </w:r>
      <w:r w:rsidR="008429A6">
        <w:rPr>
          <w:rFonts w:ascii="Verdana" w:hAnsi="Verdana"/>
        </w:rPr>
        <w:t xml:space="preserve"> </w:t>
      </w:r>
      <w:r>
        <w:rPr>
          <w:rFonts w:ascii="Verdana" w:hAnsi="Verdana"/>
        </w:rPr>
        <w:t xml:space="preserve"> competenti</w:t>
      </w:r>
      <w:r w:rsidR="008429A6">
        <w:rPr>
          <w:rFonts w:ascii="Verdana" w:hAnsi="Verdana"/>
        </w:rPr>
        <w:t xml:space="preserve"> </w:t>
      </w:r>
      <w:r>
        <w:rPr>
          <w:rFonts w:ascii="Verdana" w:hAnsi="Verdana"/>
        </w:rPr>
        <w:t xml:space="preserve"> considerazioni, l’ immobile di via Lorenzo</w:t>
      </w:r>
      <w:r w:rsidR="008429A6">
        <w:rPr>
          <w:rFonts w:ascii="Verdana" w:hAnsi="Verdana"/>
        </w:rPr>
        <w:t xml:space="preserve"> </w:t>
      </w:r>
      <w:r>
        <w:rPr>
          <w:rFonts w:ascii="Verdana" w:hAnsi="Verdana"/>
        </w:rPr>
        <w:t xml:space="preserve"> Ghiberti n. 4 è stato ritenuto idoneo a </w:t>
      </w:r>
      <w:r w:rsidR="008429A6">
        <w:rPr>
          <w:rFonts w:ascii="Verdana" w:hAnsi="Verdana"/>
        </w:rPr>
        <w:t xml:space="preserve"> </w:t>
      </w:r>
      <w:r>
        <w:rPr>
          <w:rFonts w:ascii="Verdana" w:hAnsi="Verdana"/>
        </w:rPr>
        <w:t xml:space="preserve">contenere la Direzione provinciale INPS di Trieste, tenuto conto dell’ esigenza di realizzarvi </w:t>
      </w:r>
      <w:r w:rsidR="008429A6">
        <w:rPr>
          <w:rFonts w:ascii="Verdana" w:hAnsi="Verdana"/>
        </w:rPr>
        <w:t xml:space="preserve">  </w:t>
      </w:r>
      <w:r>
        <w:rPr>
          <w:rFonts w:ascii="Verdana" w:hAnsi="Verdana"/>
        </w:rPr>
        <w:t>diversi interventi di recupero</w:t>
      </w:r>
      <w:r w:rsidR="008429A6">
        <w:rPr>
          <w:rFonts w:ascii="Verdana" w:hAnsi="Verdana"/>
        </w:rPr>
        <w:t xml:space="preserve">  </w:t>
      </w:r>
      <w:r>
        <w:rPr>
          <w:rFonts w:ascii="Verdana" w:hAnsi="Verdana"/>
        </w:rPr>
        <w:t xml:space="preserve"> complessivo, </w:t>
      </w:r>
      <w:r w:rsidR="008429A6">
        <w:rPr>
          <w:rFonts w:ascii="Verdana" w:hAnsi="Verdana"/>
        </w:rPr>
        <w:t xml:space="preserve"> </w:t>
      </w:r>
      <w:r>
        <w:rPr>
          <w:rFonts w:ascii="Verdana" w:hAnsi="Verdana"/>
        </w:rPr>
        <w:t xml:space="preserve">tra i quali, per quanto </w:t>
      </w:r>
      <w:r w:rsidR="008429A6">
        <w:rPr>
          <w:rFonts w:ascii="Verdana" w:hAnsi="Verdana"/>
        </w:rPr>
        <w:t xml:space="preserve"> </w:t>
      </w:r>
      <w:r>
        <w:rPr>
          <w:rFonts w:ascii="Verdana" w:hAnsi="Verdana"/>
        </w:rPr>
        <w:t>riguarda</w:t>
      </w:r>
      <w:r w:rsidR="008429A6">
        <w:rPr>
          <w:rFonts w:ascii="Verdana" w:hAnsi="Verdana"/>
        </w:rPr>
        <w:t xml:space="preserve">  </w:t>
      </w:r>
      <w:r>
        <w:rPr>
          <w:rFonts w:ascii="Verdana" w:hAnsi="Verdana"/>
        </w:rPr>
        <w:t xml:space="preserve"> questo </w:t>
      </w:r>
      <w:r w:rsidR="008429A6">
        <w:rPr>
          <w:rFonts w:ascii="Verdana" w:hAnsi="Verdana"/>
        </w:rPr>
        <w:t xml:space="preserve"> </w:t>
      </w:r>
      <w:r>
        <w:rPr>
          <w:rFonts w:ascii="Verdana" w:hAnsi="Verdana"/>
        </w:rPr>
        <w:t xml:space="preserve">procedimento amministrativo, </w:t>
      </w:r>
      <w:r w:rsidR="008429A6">
        <w:rPr>
          <w:rFonts w:ascii="Verdana" w:hAnsi="Verdana"/>
        </w:rPr>
        <w:t xml:space="preserve"> </w:t>
      </w:r>
      <w:r>
        <w:rPr>
          <w:rFonts w:ascii="Verdana" w:hAnsi="Verdana"/>
        </w:rPr>
        <w:t xml:space="preserve">una </w:t>
      </w:r>
      <w:r w:rsidR="008429A6">
        <w:rPr>
          <w:rFonts w:ascii="Verdana" w:hAnsi="Verdana"/>
        </w:rPr>
        <w:t xml:space="preserve">  </w:t>
      </w:r>
      <w:r>
        <w:rPr>
          <w:rFonts w:ascii="Verdana" w:hAnsi="Verdana"/>
        </w:rPr>
        <w:t xml:space="preserve">serie </w:t>
      </w:r>
      <w:r w:rsidR="008429A6">
        <w:rPr>
          <w:rFonts w:ascii="Verdana" w:hAnsi="Verdana"/>
        </w:rPr>
        <w:t xml:space="preserve"> </w:t>
      </w:r>
      <w:r>
        <w:rPr>
          <w:rFonts w:ascii="Verdana" w:hAnsi="Verdana"/>
        </w:rPr>
        <w:t xml:space="preserve">di  lavori </w:t>
      </w:r>
      <w:r w:rsidR="008429A6">
        <w:rPr>
          <w:rFonts w:ascii="Verdana" w:hAnsi="Verdana"/>
        </w:rPr>
        <w:t xml:space="preserve"> </w:t>
      </w:r>
      <w:r>
        <w:rPr>
          <w:rFonts w:ascii="Verdana" w:hAnsi="Verdana"/>
        </w:rPr>
        <w:t xml:space="preserve">di manutenzione </w:t>
      </w:r>
      <w:r w:rsidR="008429A6">
        <w:rPr>
          <w:rFonts w:ascii="Verdana" w:hAnsi="Verdana"/>
        </w:rPr>
        <w:t xml:space="preserve"> </w:t>
      </w:r>
      <w:r>
        <w:rPr>
          <w:rFonts w:ascii="Verdana" w:hAnsi="Verdana"/>
        </w:rPr>
        <w:t>e</w:t>
      </w:r>
      <w:r w:rsidR="008429A6">
        <w:rPr>
          <w:rFonts w:ascii="Verdana" w:hAnsi="Verdana"/>
        </w:rPr>
        <w:t xml:space="preserve"> </w:t>
      </w:r>
      <w:r>
        <w:rPr>
          <w:rFonts w:ascii="Verdana" w:hAnsi="Verdana"/>
        </w:rPr>
        <w:t xml:space="preserve"> adeguamento</w:t>
      </w:r>
      <w:r w:rsidR="008429A6">
        <w:rPr>
          <w:rFonts w:ascii="Verdana" w:hAnsi="Verdana"/>
        </w:rPr>
        <w:t xml:space="preserve"> </w:t>
      </w:r>
      <w:r>
        <w:rPr>
          <w:rFonts w:ascii="Verdana" w:hAnsi="Verdana"/>
        </w:rPr>
        <w:t xml:space="preserve"> degli</w:t>
      </w:r>
      <w:r w:rsidR="008429A6">
        <w:rPr>
          <w:rFonts w:ascii="Verdana" w:hAnsi="Verdana"/>
        </w:rPr>
        <w:t xml:space="preserve"> </w:t>
      </w:r>
      <w:r>
        <w:rPr>
          <w:rFonts w:ascii="Verdana" w:hAnsi="Verdana"/>
        </w:rPr>
        <w:t xml:space="preserve"> impianti interni</w:t>
      </w:r>
    </w:p>
    <w:p w14:paraId="2EC4F896" w14:textId="4C649163" w:rsidR="00B32004" w:rsidRDefault="00B32004" w:rsidP="00B32004">
      <w:pPr>
        <w:spacing w:after="0"/>
        <w:ind w:left="1701"/>
        <w:jc w:val="both"/>
        <w:rPr>
          <w:rFonts w:ascii="Verdana" w:hAnsi="Verdana"/>
        </w:rPr>
      </w:pPr>
      <w:r>
        <w:rPr>
          <w:rFonts w:ascii="Verdana" w:hAnsi="Verdana"/>
        </w:rPr>
        <w:lastRenderedPageBreak/>
        <w:t xml:space="preserve"> elettrici e speciali, che risultano preliminari al progetto di trasferimento nell’ immobile di via Ghiberti n. 4 della Sede Provinciale INPS di Trieste, progetto da realizzarsi in attuazione delle previsioni del PTL 2020-01-FVG-0022;</w:t>
      </w:r>
    </w:p>
    <w:p w14:paraId="55816716" w14:textId="77777777" w:rsidR="00B32004" w:rsidRDefault="00B32004" w:rsidP="00B32004">
      <w:pPr>
        <w:spacing w:after="0"/>
        <w:ind w:left="1701"/>
        <w:jc w:val="both"/>
        <w:rPr>
          <w:rFonts w:ascii="Verdana" w:hAnsi="Verdana"/>
        </w:rPr>
      </w:pPr>
    </w:p>
    <w:p w14:paraId="605C939A" w14:textId="77777777" w:rsidR="00B32004" w:rsidRDefault="00B32004" w:rsidP="00B32004">
      <w:pPr>
        <w:spacing w:after="0" w:line="240" w:lineRule="auto"/>
        <w:ind w:left="1701" w:hanging="1701"/>
        <w:jc w:val="both"/>
        <w:rPr>
          <w:rFonts w:ascii="Verdana" w:hAnsi="Verdana"/>
        </w:rPr>
      </w:pPr>
      <w:r>
        <w:rPr>
          <w:rFonts w:ascii="Verdana" w:hAnsi="Verdana"/>
          <w:b/>
          <w:bCs/>
        </w:rPr>
        <w:t xml:space="preserve">Riconosciuto </w:t>
      </w:r>
      <w:r>
        <w:rPr>
          <w:rFonts w:ascii="Verdana" w:hAnsi="Verdana"/>
        </w:rPr>
        <w:t xml:space="preserve">che, per la rilevanza dell’obiettivo rappresentato dalla riorganizzazione strutturale e funzionale del fabbricato in oggetto, venivano opportunamente previsti alcuni incontri tra il Coordinamento regionale tecnico edilizio della Direzione regionale INPS FVG  e il Coordinamento generale tecnico edilizio, riguardanti diversi aspetti della gestione degli immobili FIP ricadenti nel territorio regionale, soffermandosi in particolare sugli interventi da eseguire sul fabbricato in via Ghiberti n. 4 Trieste; </w:t>
      </w:r>
    </w:p>
    <w:p w14:paraId="5A976844" w14:textId="77777777" w:rsidR="00B32004" w:rsidRDefault="00B32004" w:rsidP="00B32004">
      <w:pPr>
        <w:spacing w:line="240" w:lineRule="auto"/>
        <w:ind w:left="1701"/>
        <w:jc w:val="both"/>
        <w:rPr>
          <w:rFonts w:ascii="Verdana" w:hAnsi="Verdana"/>
        </w:rPr>
      </w:pPr>
      <w:r>
        <w:rPr>
          <w:rFonts w:ascii="Verdana" w:hAnsi="Verdana"/>
        </w:rPr>
        <w:t xml:space="preserve">che nel corso dei vari incontri tenutesi tra le varie articolazioni centrali e periferiche dell’Istituto si sottolineava l’esigenza di procedere attivamente con i lavori preliminari alla rifunzionalizzazione dell’immobile di via Ghiberti n. 4, anche procedendo separatamente alla manutenzione delle diverse parti e componenti impiantistiche e edilizie, per non incorrere nel pericolo che lo stesso immobile di via Ghiberti n. 4 non venga adeguatamente approntato per essere utilizzato quale sede della Direzione provinciale INPS di Trieste entro il dicembre 2022; </w:t>
      </w:r>
    </w:p>
    <w:p w14:paraId="7D87D310" w14:textId="77777777" w:rsidR="00B32004" w:rsidRDefault="00B32004" w:rsidP="00B32004">
      <w:pPr>
        <w:spacing w:line="240" w:lineRule="auto"/>
        <w:ind w:left="1701"/>
        <w:jc w:val="both"/>
        <w:rPr>
          <w:rFonts w:ascii="Verdana" w:hAnsi="Verdana"/>
          <w:b/>
          <w:bCs/>
        </w:rPr>
      </w:pPr>
      <w:r>
        <w:rPr>
          <w:rFonts w:ascii="Verdana" w:hAnsi="Verdana"/>
        </w:rPr>
        <w:t>che si dava atto del rallentamento subito da alcune vicende catastali del fabbricato in argomento, comunque superabili in conformità ad alcune disposizioni contenute tra l’altro, in INPS. HERMES. 14/08/2018.0003160 e INPS.HERMES.22/07/2019.0002793;</w:t>
      </w:r>
      <w:r>
        <w:rPr>
          <w:rFonts w:ascii="Verdana" w:hAnsi="Verdana"/>
          <w:b/>
          <w:bCs/>
        </w:rPr>
        <w:t xml:space="preserve">  </w:t>
      </w:r>
    </w:p>
    <w:p w14:paraId="5EB90F43" w14:textId="77777777" w:rsidR="00B32004" w:rsidRDefault="00B32004" w:rsidP="00B32004">
      <w:pPr>
        <w:spacing w:line="240" w:lineRule="auto"/>
        <w:ind w:left="1701"/>
        <w:jc w:val="both"/>
        <w:rPr>
          <w:rFonts w:ascii="Verdana" w:hAnsi="Verdana"/>
        </w:rPr>
      </w:pPr>
      <w:r>
        <w:rPr>
          <w:rFonts w:ascii="Verdana" w:hAnsi="Verdana"/>
        </w:rPr>
        <w:t xml:space="preserve">che si concordava che nulla ostava che tali interventi preliminari potessero gravare sul capitolo di spesa per la Manutenzione Straordinaria sugli immobili strumentali INPS; </w:t>
      </w:r>
    </w:p>
    <w:p w14:paraId="7C8B6051" w14:textId="77777777" w:rsidR="00B32004" w:rsidRDefault="00B32004" w:rsidP="00B32004">
      <w:pPr>
        <w:spacing w:line="240" w:lineRule="auto"/>
        <w:ind w:left="1701" w:hanging="1559"/>
        <w:jc w:val="both"/>
        <w:rPr>
          <w:rFonts w:ascii="Verdana" w:hAnsi="Verdana"/>
          <w:color w:val="000000"/>
        </w:rPr>
      </w:pPr>
      <w:r>
        <w:rPr>
          <w:rFonts w:ascii="Verdana" w:hAnsi="Verdana"/>
          <w:b/>
          <w:bCs/>
        </w:rPr>
        <w:t>Richiamati</w:t>
      </w:r>
      <w:r>
        <w:rPr>
          <w:rFonts w:ascii="Verdana" w:hAnsi="Verdana"/>
        </w:rPr>
        <w:t xml:space="preserve">   </w:t>
      </w:r>
      <w:r>
        <w:rPr>
          <w:rFonts w:ascii="Verdana" w:hAnsi="Verdana"/>
          <w:color w:val="000000"/>
        </w:rPr>
        <w:t xml:space="preserve">gli elaborati tecnici e grafici e ogni altra documentazione connessa, secondo quando redatto dai competenti uffici dell’Istituto, tenuto conto che tutti gli atti e gli elaborati sono depositati in forma cartacea presso gli stessi uffici dell’Istituto; </w:t>
      </w:r>
    </w:p>
    <w:p w14:paraId="09FB019C" w14:textId="77777777" w:rsidR="00B32004" w:rsidRDefault="00B32004" w:rsidP="00B32004">
      <w:pPr>
        <w:pStyle w:val="NormaleWeb"/>
        <w:ind w:left="1701" w:hanging="1843"/>
        <w:jc w:val="both"/>
        <w:rPr>
          <w:rFonts w:ascii="Verdana" w:hAnsi="Verdana"/>
        </w:rPr>
      </w:pPr>
      <w:r>
        <w:rPr>
          <w:rFonts w:ascii="Verdana" w:hAnsi="Verdana"/>
          <w:b/>
          <w:bCs/>
        </w:rPr>
        <w:t xml:space="preserve">Tenuto </w:t>
      </w:r>
      <w:proofErr w:type="gramStart"/>
      <w:r>
        <w:rPr>
          <w:rFonts w:ascii="Verdana" w:hAnsi="Verdana"/>
          <w:b/>
          <w:bCs/>
        </w:rPr>
        <w:t>Conto</w:t>
      </w:r>
      <w:r>
        <w:rPr>
          <w:rFonts w:ascii="Verdana" w:hAnsi="Verdana"/>
        </w:rPr>
        <w:t>  che</w:t>
      </w:r>
      <w:proofErr w:type="gramEnd"/>
      <w:r>
        <w:rPr>
          <w:rFonts w:ascii="Verdana" w:hAnsi="Verdana"/>
        </w:rPr>
        <w:t xml:space="preserve">, ai sensi dell’art. 23, comma 16, del </w:t>
      </w:r>
      <w:proofErr w:type="spellStart"/>
      <w:r>
        <w:rPr>
          <w:rFonts w:ascii="Verdana" w:hAnsi="Verdana"/>
        </w:rPr>
        <w:t>D.Lgs.</w:t>
      </w:r>
      <w:proofErr w:type="spellEnd"/>
      <w:r>
        <w:rPr>
          <w:rFonts w:ascii="Verdana" w:hAnsi="Verdana"/>
        </w:rPr>
        <w:t xml:space="preserve"> n. 50/2016, nei contratti, tra l’altro, di lavori, la Stazione Appaltante, al fine di determinare l’importo posto a base di gara, individua i costi della manodopera, sulla base di tabelle emanate dal Ministero del lavoro e delle politiche sociali;</w:t>
      </w:r>
    </w:p>
    <w:p w14:paraId="7D796CA6" w14:textId="77777777" w:rsidR="00B32004" w:rsidRDefault="00B32004" w:rsidP="00B32004">
      <w:pPr>
        <w:spacing w:line="240" w:lineRule="auto"/>
        <w:ind w:left="1701"/>
        <w:jc w:val="both"/>
        <w:rPr>
          <w:rFonts w:ascii="Verdana" w:hAnsi="Verdana"/>
        </w:rPr>
      </w:pPr>
      <w:r>
        <w:rPr>
          <w:rFonts w:ascii="Verdana" w:hAnsi="Verdana"/>
        </w:rPr>
        <w:t xml:space="preserve">che, a tal fine, in virtù del combinato disposto degli artt. 23, comma 16 e 216, comma 4, del </w:t>
      </w:r>
      <w:proofErr w:type="spellStart"/>
      <w:r>
        <w:rPr>
          <w:rFonts w:ascii="Verdana" w:hAnsi="Verdana"/>
        </w:rPr>
        <w:t>D.Lgs.</w:t>
      </w:r>
      <w:proofErr w:type="spellEnd"/>
      <w:r>
        <w:rPr>
          <w:rFonts w:ascii="Verdana" w:hAnsi="Verdana"/>
        </w:rPr>
        <w:t xml:space="preserve"> n. 50/2016, fino all’adozione di nuove tabelle da parte del Ministero del lavoro e delle politiche sociali, continuano ad applicarsi le disposizioni di cui ai decreti ministeriali già emanati in materia;</w:t>
      </w:r>
    </w:p>
    <w:p w14:paraId="364A183D" w14:textId="34B100CF" w:rsidR="00B32004" w:rsidRDefault="00B32004" w:rsidP="00B32004">
      <w:pPr>
        <w:spacing w:line="240" w:lineRule="auto"/>
        <w:ind w:left="1701" w:hanging="1843"/>
        <w:jc w:val="both"/>
        <w:rPr>
          <w:rFonts w:ascii="Verdana" w:hAnsi="Verdana"/>
        </w:rPr>
      </w:pPr>
      <w:r>
        <w:rPr>
          <w:rFonts w:ascii="Verdana" w:hAnsi="Verdana"/>
          <w:b/>
          <w:bCs/>
        </w:rPr>
        <w:t xml:space="preserve">Evidenziato      </w:t>
      </w:r>
      <w:r>
        <w:rPr>
          <w:rFonts w:ascii="Verdana" w:hAnsi="Verdana"/>
        </w:rPr>
        <w:t xml:space="preserve">che nel caso di specie, in cui si profila l’affidamento di un contratto a “misura”, si è stimato che l’incidenza del costo della manodopera sia inferiore al 50% del totale del valore contrattuale, calcolato in € 278.000,00 di cui € 5.400,00 per presunti costi per la sicurezza ex d.lgs. 81/2008 come da PSC non soggetti a ribasso;  </w:t>
      </w:r>
    </w:p>
    <w:p w14:paraId="5390A06B" w14:textId="0578D47B" w:rsidR="00B32004" w:rsidRDefault="00B32004" w:rsidP="00B32004">
      <w:pPr>
        <w:spacing w:line="240" w:lineRule="auto"/>
        <w:ind w:left="1701" w:hanging="1843"/>
        <w:jc w:val="both"/>
        <w:rPr>
          <w:rFonts w:ascii="Verdana" w:hAnsi="Verdana"/>
        </w:rPr>
      </w:pPr>
      <w:r>
        <w:rPr>
          <w:rFonts w:ascii="Verdana" w:hAnsi="Verdana"/>
          <w:b/>
          <w:bCs/>
        </w:rPr>
        <w:lastRenderedPageBreak/>
        <w:t>Considerato</w:t>
      </w:r>
      <w:r>
        <w:rPr>
          <w:rFonts w:ascii="Verdana" w:hAnsi="Verdana"/>
        </w:rPr>
        <w:t xml:space="preserve">   </w:t>
      </w:r>
      <w:r w:rsidR="00104415">
        <w:rPr>
          <w:rFonts w:ascii="Verdana" w:hAnsi="Verdana"/>
        </w:rPr>
        <w:t xml:space="preserve"> </w:t>
      </w:r>
      <w:r>
        <w:rPr>
          <w:rFonts w:ascii="Verdana" w:hAnsi="Verdana"/>
        </w:rPr>
        <w:t xml:space="preserve">che per realizzare </w:t>
      </w:r>
      <w:proofErr w:type="gramStart"/>
      <w:r>
        <w:rPr>
          <w:rFonts w:ascii="Verdana" w:hAnsi="Verdana"/>
        </w:rPr>
        <w:t>l’ Accordo</w:t>
      </w:r>
      <w:proofErr w:type="gramEnd"/>
      <w:r>
        <w:rPr>
          <w:rFonts w:ascii="Verdana" w:hAnsi="Verdana"/>
        </w:rPr>
        <w:t xml:space="preserve"> Quadro previsto nell’apposito progetto, è stata stimata una  spesa pari </w:t>
      </w:r>
      <w:r w:rsidRPr="00653A15">
        <w:rPr>
          <w:rFonts w:ascii="Verdana" w:hAnsi="Verdana"/>
        </w:rPr>
        <w:t xml:space="preserve">a € </w:t>
      </w:r>
      <w:r w:rsidRPr="00653A15">
        <w:rPr>
          <w:rFonts w:ascii="Verdana" w:hAnsi="Verdana"/>
          <w:b/>
          <w:bCs/>
        </w:rPr>
        <w:t>344.720,00,</w:t>
      </w:r>
      <w:r w:rsidRPr="00653A15">
        <w:rPr>
          <w:rFonts w:ascii="Verdana" w:hAnsi="Verdana"/>
        </w:rPr>
        <w:t xml:space="preserve"> somma che include l’accantonamento per l’incentivo per le funzioni tecniche, gli oneri fiscali e gli oneri presunti della sicurezza ex d.lgs. 81/2008</w:t>
      </w:r>
      <w:r>
        <w:rPr>
          <w:rFonts w:ascii="Verdana" w:hAnsi="Verdana"/>
        </w:rPr>
        <w:t xml:space="preserve"> </w:t>
      </w:r>
      <w:proofErr w:type="spellStart"/>
      <w:r>
        <w:rPr>
          <w:rFonts w:ascii="Verdana" w:hAnsi="Verdana"/>
        </w:rPr>
        <w:t>ss.mm.ii</w:t>
      </w:r>
      <w:proofErr w:type="spellEnd"/>
      <w:r>
        <w:rPr>
          <w:rFonts w:ascii="Verdana" w:hAnsi="Verdana"/>
        </w:rPr>
        <w:t xml:space="preserve">., tenuto conto che tale spesa trova adeguata capienza nello stanziamento dell’intervento PTL2020-01-FVG-022 e che tale spesa sarà imputata al  capitolo/voce 5U211201007 del Bilancio INPS 2020; </w:t>
      </w:r>
    </w:p>
    <w:p w14:paraId="6E6714EA" w14:textId="2EDC402E" w:rsidR="00B32004" w:rsidRDefault="00B32004" w:rsidP="00B32004">
      <w:pPr>
        <w:spacing w:line="240" w:lineRule="auto"/>
        <w:ind w:left="1701" w:hanging="1559"/>
        <w:jc w:val="both"/>
        <w:rPr>
          <w:rFonts w:ascii="Verdana" w:hAnsi="Verdana"/>
        </w:rPr>
      </w:pPr>
      <w:r>
        <w:rPr>
          <w:rFonts w:ascii="Verdana" w:hAnsi="Verdana"/>
          <w:b/>
          <w:bCs/>
        </w:rPr>
        <w:t xml:space="preserve">Precisato      </w:t>
      </w:r>
      <w:r>
        <w:rPr>
          <w:rFonts w:ascii="Verdana" w:hAnsi="Verdana"/>
        </w:rPr>
        <w:t>che la spesa prevista per l’esecuzione dei lavori in oggetto ammonta a € 278.000,00  di cui € 5.400,00 presunti per oneri della sicurezza, e che a tale spesa deve essere sommata quella pari a € 61.160,00 per IVA al 22%, oltre a quella di € 5.560,00 per l’accantonamento a titolo di spesa per gli  incentivi per le funzioni tecniche, ex art. 113 del Codice dei contratti pubblici, come in dettaglio indicato nel Quadro Economico Esecutivo di progetto e nella tabella dettagliata nella appos</w:t>
      </w:r>
      <w:r w:rsidR="00FE0EE5">
        <w:rPr>
          <w:rFonts w:ascii="Verdana" w:hAnsi="Verdana"/>
        </w:rPr>
        <w:t>i</w:t>
      </w:r>
      <w:r>
        <w:rPr>
          <w:rFonts w:ascii="Verdana" w:hAnsi="Verdana"/>
        </w:rPr>
        <w:t>ta Relazione;</w:t>
      </w:r>
    </w:p>
    <w:tbl>
      <w:tblPr>
        <w:tblW w:w="10168" w:type="dxa"/>
        <w:tblCellSpacing w:w="20" w:type="dxa"/>
        <w:tblCellMar>
          <w:left w:w="0" w:type="dxa"/>
          <w:right w:w="0" w:type="dxa"/>
        </w:tblCellMar>
        <w:tblLook w:val="04A0" w:firstRow="1" w:lastRow="0" w:firstColumn="1" w:lastColumn="0" w:noHBand="0" w:noVBand="1"/>
      </w:tblPr>
      <w:tblGrid>
        <w:gridCol w:w="10168"/>
      </w:tblGrid>
      <w:tr w:rsidR="00B32004" w14:paraId="2F3797D7" w14:textId="77777777" w:rsidTr="00F83A19">
        <w:trPr>
          <w:trHeight w:val="724"/>
          <w:tblCellSpacing w:w="20" w:type="dxa"/>
        </w:trPr>
        <w:tc>
          <w:tcPr>
            <w:tcW w:w="10088" w:type="dxa"/>
            <w:tcMar>
              <w:top w:w="15" w:type="dxa"/>
              <w:left w:w="15" w:type="dxa"/>
              <w:bottom w:w="15" w:type="dxa"/>
              <w:right w:w="15" w:type="dxa"/>
            </w:tcMar>
            <w:vAlign w:val="center"/>
          </w:tcPr>
          <w:p w14:paraId="61A04345" w14:textId="0A8FA1E9" w:rsidR="00AA0F5A" w:rsidRDefault="00AA0F5A" w:rsidP="00AA0F5A">
            <w:pPr>
              <w:spacing w:after="0" w:line="240" w:lineRule="auto"/>
              <w:ind w:left="1641" w:right="261" w:hanging="141"/>
              <w:jc w:val="both"/>
              <w:rPr>
                <w:rFonts w:ascii="Verdana" w:hAnsi="Verdana"/>
              </w:rPr>
            </w:pPr>
            <w:r w:rsidRPr="001E3D6E">
              <w:rPr>
                <w:rFonts w:ascii="Verdana" w:hAnsi="Verdana"/>
              </w:rPr>
              <w:t xml:space="preserve">  che le funzioni tecniche potranno essere svolte da alcune persone da individuare formalmente, anche al fine della applicazione dell’art. 113 del Codice dei contratti pubblici, e che faranno parte di un Gruppo di Lavoro ove ciascuno fornirà il proprio contributo in base alle competenze di cui dispone;</w:t>
            </w:r>
          </w:p>
          <w:p w14:paraId="5DC37A4C" w14:textId="77777777" w:rsidR="00B32004" w:rsidRDefault="00B32004">
            <w:pPr>
              <w:spacing w:after="0" w:line="240" w:lineRule="auto"/>
              <w:ind w:left="1651" w:firstLine="92"/>
              <w:rPr>
                <w:rFonts w:ascii="Verdana" w:hAnsi="Verdana"/>
                <w:lang w:eastAsia="it-IT"/>
              </w:rPr>
            </w:pPr>
          </w:p>
        </w:tc>
      </w:tr>
    </w:tbl>
    <w:p w14:paraId="1C498E59" w14:textId="6E060C6B" w:rsidR="00B32004" w:rsidRDefault="00AA0F5A" w:rsidP="00B32004">
      <w:pPr>
        <w:pStyle w:val="NormaleWeb"/>
        <w:spacing w:before="0" w:beforeAutospacing="0" w:afterAutospacing="0"/>
        <w:ind w:left="1701" w:hanging="1701"/>
        <w:jc w:val="both"/>
        <w:rPr>
          <w:rFonts w:ascii="Verdana" w:hAnsi="Verdana"/>
        </w:rPr>
      </w:pPr>
      <w:r>
        <w:rPr>
          <w:rFonts w:ascii="Verdana" w:hAnsi="Verdana"/>
          <w:b/>
          <w:bCs/>
        </w:rPr>
        <w:t>D</w:t>
      </w:r>
      <w:r w:rsidR="00B32004">
        <w:rPr>
          <w:rFonts w:ascii="Verdana" w:hAnsi="Verdana"/>
          <w:b/>
          <w:bCs/>
        </w:rPr>
        <w:t>ato atto</w:t>
      </w:r>
      <w:r w:rsidR="00B32004">
        <w:rPr>
          <w:rFonts w:ascii="Verdana" w:hAnsi="Verdana"/>
        </w:rPr>
        <w:t>      </w:t>
      </w:r>
      <w:r w:rsidR="00870DB5">
        <w:rPr>
          <w:rFonts w:ascii="Verdana" w:hAnsi="Verdana"/>
        </w:rPr>
        <w:t xml:space="preserve"> </w:t>
      </w:r>
      <w:r w:rsidR="00B32004">
        <w:rPr>
          <w:rFonts w:ascii="Verdana" w:hAnsi="Verdana"/>
        </w:rPr>
        <w:t xml:space="preserve">che, comunque, l’erogazione degli incentivi per le funzioni tecniche resta subordinata alla approvazione di un nuovo Regolamento in materia da parte dell’Istituto, giusta </w:t>
      </w:r>
      <w:r w:rsidR="00542C37">
        <w:rPr>
          <w:rFonts w:ascii="Verdana" w:hAnsi="Verdana"/>
        </w:rPr>
        <w:t xml:space="preserve">alcuni </w:t>
      </w:r>
      <w:r w:rsidR="00B32004">
        <w:rPr>
          <w:rFonts w:ascii="Verdana" w:hAnsi="Verdana"/>
        </w:rPr>
        <w:t>messaggi inviati allo scopo, quali INPS.Hermes.21.03.2019.0001167</w:t>
      </w:r>
      <w:r w:rsidR="00542C37">
        <w:rPr>
          <w:rFonts w:ascii="Verdana" w:hAnsi="Verdana"/>
        </w:rPr>
        <w:t xml:space="preserve"> e in un secondo </w:t>
      </w:r>
      <w:proofErr w:type="gramStart"/>
      <w:r w:rsidR="00542C37">
        <w:rPr>
          <w:rFonts w:ascii="Verdana" w:hAnsi="Verdana"/>
        </w:rPr>
        <w:t xml:space="preserve">momento </w:t>
      </w:r>
      <w:r w:rsidR="00B32004">
        <w:rPr>
          <w:rFonts w:ascii="Verdana" w:hAnsi="Verdana"/>
        </w:rPr>
        <w:t xml:space="preserve"> INPS.Hermes</w:t>
      </w:r>
      <w:proofErr w:type="gramEnd"/>
      <w:r w:rsidR="00B32004">
        <w:rPr>
          <w:rFonts w:ascii="Verdana" w:hAnsi="Verdana"/>
        </w:rPr>
        <w:t xml:space="preserve">.15.11.2019.0004183; </w:t>
      </w:r>
    </w:p>
    <w:p w14:paraId="516FE6D1" w14:textId="77777777" w:rsidR="001E3D6E" w:rsidRDefault="001E3D6E" w:rsidP="001E3D6E">
      <w:pPr>
        <w:spacing w:after="0" w:line="240" w:lineRule="auto"/>
        <w:ind w:left="1651" w:hanging="1651"/>
        <w:jc w:val="both"/>
        <w:rPr>
          <w:rFonts w:ascii="Verdana" w:hAnsi="Verdana"/>
        </w:rPr>
      </w:pPr>
      <w:r>
        <w:rPr>
          <w:rFonts w:ascii="Verdana" w:hAnsi="Verdana"/>
          <w:b/>
          <w:bCs/>
        </w:rPr>
        <w:t xml:space="preserve">Considerato </w:t>
      </w:r>
      <w:r w:rsidRPr="001E3D6E">
        <w:rPr>
          <w:rFonts w:ascii="Verdana" w:hAnsi="Verdana"/>
        </w:rPr>
        <w:t xml:space="preserve">opportuno   nominare il Gruppo di Lavoro con un distinto atto del sottoscritto Direttore regionale INPS per il </w:t>
      </w:r>
      <w:proofErr w:type="gramStart"/>
      <w:r w:rsidRPr="001E3D6E">
        <w:rPr>
          <w:rFonts w:ascii="Verdana" w:hAnsi="Verdana"/>
        </w:rPr>
        <w:t>Friuli Venezia Giulia</w:t>
      </w:r>
      <w:proofErr w:type="gramEnd"/>
      <w:r w:rsidRPr="001E3D6E">
        <w:rPr>
          <w:rFonts w:ascii="Verdana" w:hAnsi="Verdana"/>
        </w:rPr>
        <w:t xml:space="preserve">, successivamente alla approvazione della presente determinazione di indizione della procedura negoziata sul </w:t>
      </w:r>
      <w:proofErr w:type="spellStart"/>
      <w:r w:rsidRPr="001E3D6E">
        <w:rPr>
          <w:rFonts w:ascii="Verdana" w:hAnsi="Verdana"/>
        </w:rPr>
        <w:t>MePA</w:t>
      </w:r>
      <w:proofErr w:type="spellEnd"/>
      <w:r w:rsidRPr="001E3D6E">
        <w:rPr>
          <w:rFonts w:ascii="Verdana" w:hAnsi="Verdana"/>
        </w:rPr>
        <w:t>;</w:t>
      </w:r>
    </w:p>
    <w:p w14:paraId="4AC70DF9" w14:textId="77777777" w:rsidR="001E3D6E" w:rsidRDefault="001E3D6E" w:rsidP="00B32004">
      <w:pPr>
        <w:pStyle w:val="NormaleWeb"/>
        <w:spacing w:before="0" w:beforeAutospacing="0" w:afterAutospacing="0"/>
        <w:ind w:left="1701" w:hanging="1701"/>
        <w:jc w:val="both"/>
        <w:rPr>
          <w:rFonts w:ascii="Verdana" w:hAnsi="Verdana"/>
        </w:rPr>
      </w:pPr>
    </w:p>
    <w:p w14:paraId="4CE6B8C2" w14:textId="210BC758" w:rsidR="00B32004" w:rsidRDefault="00B32004" w:rsidP="00B32004">
      <w:pPr>
        <w:pStyle w:val="NormaleWeb"/>
        <w:spacing w:before="0" w:beforeAutospacing="0" w:afterAutospacing="0"/>
        <w:ind w:left="1701" w:hanging="1701"/>
        <w:jc w:val="both"/>
        <w:rPr>
          <w:rFonts w:ascii="Verdana" w:hAnsi="Verdana"/>
        </w:rPr>
      </w:pPr>
      <w:r>
        <w:rPr>
          <w:rFonts w:ascii="Verdana" w:hAnsi="Verdana"/>
          <w:b/>
          <w:bCs/>
        </w:rPr>
        <w:t xml:space="preserve">Considerato  </w:t>
      </w:r>
      <w:r>
        <w:rPr>
          <w:rFonts w:ascii="Verdana" w:hAnsi="Verdana"/>
        </w:rPr>
        <w:t>opportuno costituire</w:t>
      </w:r>
      <w:r>
        <w:rPr>
          <w:rFonts w:ascii="Verdana" w:hAnsi="Verdana"/>
          <w:b/>
          <w:bCs/>
        </w:rPr>
        <w:t xml:space="preserve"> </w:t>
      </w:r>
      <w:r>
        <w:rPr>
          <w:rFonts w:ascii="Verdana" w:hAnsi="Verdana"/>
        </w:rPr>
        <w:t xml:space="preserve">un </w:t>
      </w:r>
      <w:r w:rsidR="001E3D6E">
        <w:rPr>
          <w:rFonts w:ascii="Verdana" w:hAnsi="Verdana"/>
        </w:rPr>
        <w:t xml:space="preserve">Seggio di Gara </w:t>
      </w:r>
      <w:r>
        <w:rPr>
          <w:rFonts w:ascii="Verdana" w:hAnsi="Verdana"/>
        </w:rPr>
        <w:t xml:space="preserve">semplificato per il completo espletamento della procedura telematica, </w:t>
      </w:r>
      <w:r w:rsidR="00F83A19">
        <w:rPr>
          <w:rFonts w:ascii="Verdana" w:hAnsi="Verdana"/>
        </w:rPr>
        <w:t>s</w:t>
      </w:r>
      <w:r>
        <w:rPr>
          <w:rFonts w:ascii="Verdana" w:hAnsi="Verdana"/>
        </w:rPr>
        <w:t>econdo le disposizioni della Determinazione centrale n. RS30/079/2020 approvata il 19.02.2020 dalla DCRSCUA a oggetto: “criteri per la nomina, la composizione ed il funzionamento delle Commissioni giudicatrici e dei Seggi di gara, ai sensi del combinato disposto tra gli artt. 77 e 216, comma 12, del D.lgs. 50/2016”, alla quale determinazione si fa espresso rinvio, e in particolare, per la parte che qui interessa, ai sensi degli artt. 7 e 8 che disciplinano, rispettivamente la nomina e la composizione del seggio di gara e il funzionamento di quest’ultimo;</w:t>
      </w:r>
    </w:p>
    <w:p w14:paraId="3E955FD4" w14:textId="77777777" w:rsidR="00F764C7" w:rsidRDefault="00F764C7" w:rsidP="00F764C7">
      <w:pPr>
        <w:pStyle w:val="NormaleWeb"/>
        <w:spacing w:before="0" w:beforeAutospacing="0" w:afterAutospacing="0"/>
        <w:ind w:left="1701" w:hanging="1701"/>
        <w:jc w:val="both"/>
        <w:rPr>
          <w:rFonts w:ascii="Verdana" w:hAnsi="Verdana"/>
          <w:b/>
          <w:bCs/>
        </w:rPr>
      </w:pPr>
      <w:r w:rsidRPr="001E3D6E">
        <w:rPr>
          <w:rFonts w:ascii="Verdana" w:hAnsi="Verdana"/>
          <w:b/>
          <w:bCs/>
        </w:rPr>
        <w:t xml:space="preserve">Dato atto       </w:t>
      </w:r>
      <w:r w:rsidRPr="001E3D6E">
        <w:rPr>
          <w:rFonts w:ascii="Verdana" w:hAnsi="Verdana"/>
        </w:rPr>
        <w:t xml:space="preserve">che la determinazione di nomina sarà adottata dal sottoscritto Direttore regionale INPS FVG, su proposta del RUP, dopo la scadenza del termine fissato per la presentazione delle offerte;  che tale atto si perfezionerà successivamente alla presa visione dell’elenco delle offerte pervenute da parte dei candidati individuati e sempreché non sussistano cause di incompatibilità/conflitto di interesse tra i </w:t>
      </w:r>
      <w:proofErr w:type="spellStart"/>
      <w:r w:rsidRPr="001E3D6E">
        <w:rPr>
          <w:rFonts w:ascii="Verdana" w:hAnsi="Verdana"/>
        </w:rPr>
        <w:t>nominandi</w:t>
      </w:r>
      <w:proofErr w:type="spellEnd"/>
      <w:r w:rsidRPr="001E3D6E">
        <w:rPr>
          <w:rFonts w:ascii="Verdana" w:hAnsi="Verdana"/>
        </w:rPr>
        <w:t xml:space="preserve"> componenti del seggio di gara e i candidati; che infine tale atto di nomina sarà pubblicato sul profilo del committente, giusta espressa disposizione dell’art. 7 comma 2 della Determinazione n.</w:t>
      </w:r>
      <w:r>
        <w:rPr>
          <w:rFonts w:ascii="Verdana" w:hAnsi="Verdana"/>
        </w:rPr>
        <w:t xml:space="preserve"> RS30/079/2020 approvata il </w:t>
      </w:r>
      <w:r>
        <w:rPr>
          <w:rFonts w:ascii="Verdana" w:hAnsi="Verdana"/>
        </w:rPr>
        <w:lastRenderedPageBreak/>
        <w:t>19.02.2020 dalla DCRSCUA, che un tanto</w:t>
      </w:r>
      <w:r>
        <w:rPr>
          <w:rFonts w:ascii="Verdana" w:hAnsi="Verdana"/>
          <w:b/>
          <w:bCs/>
        </w:rPr>
        <w:t xml:space="preserve"> </w:t>
      </w:r>
      <w:r>
        <w:rPr>
          <w:rFonts w:ascii="Verdana" w:hAnsi="Verdana"/>
        </w:rPr>
        <w:t>prevede in via analogica con la disposizione dell’art. 77 comma 7 del Codice dei contratti pubblici;</w:t>
      </w:r>
    </w:p>
    <w:p w14:paraId="4A4ACECE" w14:textId="61B8834A" w:rsidR="00B32004" w:rsidRDefault="00B32004" w:rsidP="00B32004">
      <w:pPr>
        <w:pStyle w:val="NormaleWeb"/>
        <w:spacing w:before="0" w:beforeAutospacing="0" w:afterAutospacing="0"/>
        <w:ind w:left="1701" w:hanging="1701"/>
        <w:jc w:val="both"/>
        <w:rPr>
          <w:rFonts w:ascii="Verdana" w:hAnsi="Verdana"/>
        </w:rPr>
      </w:pPr>
    </w:p>
    <w:p w14:paraId="3D0C2E8B" w14:textId="63796709" w:rsidR="00697F5E" w:rsidRDefault="00697F5E" w:rsidP="00697F5E">
      <w:pPr>
        <w:spacing w:after="0" w:line="240" w:lineRule="auto"/>
        <w:ind w:left="1651" w:hanging="1651"/>
        <w:jc w:val="both"/>
        <w:rPr>
          <w:rFonts w:ascii="Verdana" w:hAnsi="Verdana"/>
        </w:rPr>
      </w:pPr>
      <w:r>
        <w:rPr>
          <w:rFonts w:ascii="Verdana" w:hAnsi="Verdana"/>
          <w:b/>
          <w:bCs/>
        </w:rPr>
        <w:t>Ritenuto      </w:t>
      </w:r>
      <w:r>
        <w:rPr>
          <w:rFonts w:ascii="Verdana" w:hAnsi="Verdana"/>
        </w:rPr>
        <w:t xml:space="preserve">di nominare l’Arch. Dario Luciani quale Responsabile unico del procedimento – RUP- ex art. 31 del D.lgs. 50/2016 </w:t>
      </w:r>
      <w:proofErr w:type="spellStart"/>
      <w:r>
        <w:rPr>
          <w:rFonts w:ascii="Verdana" w:hAnsi="Verdana"/>
        </w:rPr>
        <w:t>ss.mm.ii</w:t>
      </w:r>
      <w:proofErr w:type="spellEnd"/>
      <w:r>
        <w:rPr>
          <w:rFonts w:ascii="Verdana" w:hAnsi="Verdana"/>
        </w:rPr>
        <w:t xml:space="preserve">. per la procedura negoziata sul </w:t>
      </w:r>
      <w:proofErr w:type="spellStart"/>
      <w:r>
        <w:rPr>
          <w:rFonts w:ascii="Verdana" w:hAnsi="Verdana"/>
        </w:rPr>
        <w:t>Mepa</w:t>
      </w:r>
      <w:proofErr w:type="spellEnd"/>
      <w:r>
        <w:rPr>
          <w:rFonts w:ascii="Verdana" w:hAnsi="Verdana"/>
        </w:rPr>
        <w:t xml:space="preserve"> di cui al </w:t>
      </w:r>
      <w:r w:rsidRPr="00741825">
        <w:rPr>
          <w:rFonts w:ascii="Verdana" w:hAnsi="Verdana"/>
        </w:rPr>
        <w:t xml:space="preserve">CIG </w:t>
      </w:r>
      <w:r w:rsidR="00741825" w:rsidRPr="00741825">
        <w:rPr>
          <w:rFonts w:ascii="Verdana" w:hAnsi="Verdana"/>
        </w:rPr>
        <w:t>8514279D4</w:t>
      </w:r>
      <w:proofErr w:type="gramStart"/>
      <w:r w:rsidR="00741825" w:rsidRPr="00741825">
        <w:rPr>
          <w:rFonts w:ascii="Verdana" w:hAnsi="Verdana"/>
        </w:rPr>
        <w:t xml:space="preserve">A </w:t>
      </w:r>
      <w:r w:rsidRPr="00741825">
        <w:rPr>
          <w:rFonts w:ascii="Verdana" w:hAnsi="Verdana"/>
        </w:rPr>
        <w:t>,</w:t>
      </w:r>
      <w:proofErr w:type="gramEnd"/>
      <w:r w:rsidRPr="00741825">
        <w:rPr>
          <w:rFonts w:ascii="Verdana" w:hAnsi="Verdana"/>
        </w:rPr>
        <w:t xml:space="preserve"> conferendogli</w:t>
      </w:r>
      <w:r>
        <w:rPr>
          <w:rFonts w:ascii="Verdana" w:hAnsi="Verdana"/>
        </w:rPr>
        <w:t xml:space="preserve"> contestualmente mandato acciocché ponga in essere tutti gli adempimenti nomativi e amministrativi che contraddistinguono tale ruolo, in modo tale che sia garantito il regolare andamento dell’intera azione amministrativa fino alla conclusione del procedimento in parola, in applicazione altresì alla legge 241/1990 </w:t>
      </w:r>
      <w:proofErr w:type="spellStart"/>
      <w:r>
        <w:rPr>
          <w:rFonts w:ascii="Verdana" w:hAnsi="Verdana"/>
        </w:rPr>
        <w:t>ss.mm.ii</w:t>
      </w:r>
      <w:proofErr w:type="spellEnd"/>
      <w:r>
        <w:rPr>
          <w:rFonts w:ascii="Verdana" w:hAnsi="Verdana"/>
        </w:rPr>
        <w:t>.;</w:t>
      </w:r>
    </w:p>
    <w:p w14:paraId="3EC8B279" w14:textId="77777777" w:rsidR="00763218" w:rsidRDefault="00763218" w:rsidP="00697F5E">
      <w:pPr>
        <w:spacing w:after="0" w:line="240" w:lineRule="auto"/>
        <w:ind w:left="1651" w:hanging="1651"/>
        <w:jc w:val="both"/>
        <w:rPr>
          <w:rFonts w:ascii="Verdana" w:hAnsi="Verdana"/>
        </w:rPr>
      </w:pPr>
    </w:p>
    <w:p w14:paraId="4B2CC588" w14:textId="669E51AE" w:rsidR="00763218" w:rsidRDefault="00763218" w:rsidP="00763218">
      <w:pPr>
        <w:spacing w:line="240" w:lineRule="auto"/>
        <w:ind w:left="1701" w:hanging="1701"/>
        <w:jc w:val="both"/>
        <w:rPr>
          <w:rFonts w:ascii="Verdana" w:hAnsi="Verdana"/>
        </w:rPr>
      </w:pPr>
      <w:r>
        <w:rPr>
          <w:rFonts w:ascii="Verdana" w:hAnsi="Verdana"/>
          <w:b/>
          <w:bCs/>
        </w:rPr>
        <w:t xml:space="preserve">Viste              </w:t>
      </w:r>
      <w:r>
        <w:rPr>
          <w:rFonts w:ascii="Verdana" w:hAnsi="Verdana"/>
        </w:rPr>
        <w:t>altresì</w:t>
      </w:r>
      <w:r>
        <w:rPr>
          <w:rFonts w:ascii="Verdana" w:hAnsi="Verdana"/>
          <w:b/>
          <w:bCs/>
        </w:rPr>
        <w:t xml:space="preserve"> </w:t>
      </w:r>
      <w:r>
        <w:rPr>
          <w:rFonts w:ascii="Verdana" w:hAnsi="Verdana"/>
        </w:rPr>
        <w:t xml:space="preserve">le Linee guida n. 3/2017, di attuazione del </w:t>
      </w:r>
      <w:proofErr w:type="spellStart"/>
      <w:r>
        <w:rPr>
          <w:rFonts w:ascii="Verdana" w:hAnsi="Verdana"/>
        </w:rPr>
        <w:t>D.Lgs.</w:t>
      </w:r>
      <w:proofErr w:type="spellEnd"/>
      <w:r>
        <w:rPr>
          <w:rFonts w:ascii="Verdana" w:hAnsi="Verdana"/>
        </w:rPr>
        <w:t xml:space="preserve"> 18 aprile 2016, n. 50, recanti «Nomina, ruolo e compiti del responsabile unico del procedimento per l’affidamento di appalti e concessioni», approvate dal Consiglio dell’A.N.AC. con deliberazione n. 1096 del 26 ottobre 2016, aggiornate in data 11 ottobre 2017;</w:t>
      </w:r>
    </w:p>
    <w:p w14:paraId="507E4364" w14:textId="77777777" w:rsidR="006527ED" w:rsidRDefault="006527ED" w:rsidP="00B32004">
      <w:pPr>
        <w:pStyle w:val="NormaleWeb"/>
        <w:spacing w:before="0" w:beforeAutospacing="0" w:afterAutospacing="0"/>
        <w:ind w:left="1701" w:hanging="1701"/>
        <w:jc w:val="both"/>
        <w:rPr>
          <w:rFonts w:ascii="Verdana" w:hAnsi="Verdana"/>
        </w:rPr>
      </w:pPr>
    </w:p>
    <w:p w14:paraId="32EC96FE" w14:textId="62B06C41" w:rsidR="00B32004" w:rsidRDefault="00B32004" w:rsidP="00B32004">
      <w:pPr>
        <w:ind w:left="1701" w:hanging="1559"/>
        <w:jc w:val="both"/>
        <w:rPr>
          <w:rFonts w:ascii="Verdana" w:hAnsi="Verdana"/>
        </w:rPr>
      </w:pPr>
      <w:r>
        <w:rPr>
          <w:rFonts w:ascii="Verdana" w:hAnsi="Verdana"/>
          <w:b/>
          <w:bCs/>
        </w:rPr>
        <w:t>Richiamato </w:t>
      </w:r>
      <w:r w:rsidR="007C494E">
        <w:rPr>
          <w:rFonts w:ascii="Verdana" w:hAnsi="Verdana"/>
          <w:b/>
          <w:bCs/>
        </w:rPr>
        <w:t xml:space="preserve"> </w:t>
      </w:r>
      <w:r>
        <w:rPr>
          <w:rFonts w:ascii="Verdana" w:hAnsi="Verdana"/>
          <w:b/>
          <w:bCs/>
        </w:rPr>
        <w:t xml:space="preserve"> </w:t>
      </w:r>
      <w:r>
        <w:rPr>
          <w:rFonts w:ascii="Verdana" w:hAnsi="Verdana"/>
        </w:rPr>
        <w:t xml:space="preserve">il </w:t>
      </w:r>
      <w:proofErr w:type="gramStart"/>
      <w:r>
        <w:rPr>
          <w:rFonts w:ascii="Verdana" w:hAnsi="Verdana"/>
        </w:rPr>
        <w:t>Decreto legge</w:t>
      </w:r>
      <w:proofErr w:type="gramEnd"/>
      <w:r>
        <w:rPr>
          <w:rFonts w:ascii="Verdana" w:hAnsi="Verdana"/>
        </w:rPr>
        <w:t xml:space="preserve"> 76 del 16 luglio 2020, convertito con Legge n. 120/2020 il quale all’ art. 1 -comma 2- lett. b) prevede, per la parte che qui interessa, che le Stazioni Appaltanti procedono all’affidamento delle attività di esecuzione di lavori secondo le seguenti modalità:</w:t>
      </w:r>
    </w:p>
    <w:p w14:paraId="3969662A" w14:textId="77777777" w:rsidR="00B32004" w:rsidRDefault="00B32004" w:rsidP="00B32004">
      <w:pPr>
        <w:ind w:left="1701" w:hanging="1559"/>
        <w:jc w:val="both"/>
        <w:rPr>
          <w:rFonts w:ascii="Verdana" w:hAnsi="Verdana"/>
        </w:rPr>
      </w:pPr>
      <w:r>
        <w:rPr>
          <w:rFonts w:ascii="Verdana" w:hAnsi="Verdana"/>
          <w:b/>
          <w:bCs/>
        </w:rPr>
        <w:t xml:space="preserve">                    </w:t>
      </w:r>
      <w:r>
        <w:rPr>
          <w:rFonts w:ascii="Verdana" w:hAnsi="Verdana"/>
        </w:rPr>
        <w:t>(…………..)</w:t>
      </w:r>
    </w:p>
    <w:p w14:paraId="1B813592" w14:textId="3BBD7EE7" w:rsidR="00B32004" w:rsidRDefault="00B32004" w:rsidP="00B32004">
      <w:pPr>
        <w:pStyle w:val="NormaleWeb"/>
        <w:ind w:left="1701"/>
        <w:jc w:val="both"/>
        <w:rPr>
          <w:rFonts w:ascii="Verdana" w:hAnsi="Verdana"/>
        </w:rPr>
      </w:pPr>
      <w:r>
        <w:rPr>
          <w:rFonts w:ascii="Verdana" w:hAnsi="Verdana"/>
        </w:rPr>
        <w:t>b) procedura negoziata, senza bando, di cui all’</w:t>
      </w:r>
      <w:hyperlink r:id="rId7" w:anchor="063" w:history="1">
        <w:r>
          <w:rPr>
            <w:rStyle w:val="Collegamentoipertestuale"/>
            <w:rFonts w:ascii="Verdana" w:hAnsi="Verdana"/>
            <w:color w:val="auto"/>
            <w:u w:val="none"/>
          </w:rPr>
          <w:t>articolo 63 del decreto legislativo n. 50 del 2016</w:t>
        </w:r>
      </w:hyperlink>
      <w:r>
        <w:rPr>
          <w:rFonts w:ascii="Verdana" w:hAnsi="Verdana"/>
        </w:rPr>
        <w:t>, previa consultazione di almeno cinque operatori economici, ove esistenti, nel rispetto di un criterio di rotazione degli inviti, che tenga conto anche di una diversa dislocazione territoriale delle imprese invitate, individuati in base ad indagini di mercato o tramite elenchi di operatori economici, per l’affidamento (……) di lavori di importo pari o superiore a 150.000 euro e inferiore a 350.000 euro,(….) ovvero di almeno dieci operatori per lavori di importo pari o superiore a 350.000 euro e inferiore a un milione di euro, ovvero di almeno quindici operatori per lavori di importo pari o superiore a un milione di euro e fino alle soglie di cui all’articolo 35 del decreto legislativo n. 50 del 2016.(……..…);</w:t>
      </w:r>
    </w:p>
    <w:p w14:paraId="46F0F37C" w14:textId="77777777" w:rsidR="00B32004" w:rsidRDefault="00B32004" w:rsidP="00B32004">
      <w:pPr>
        <w:pStyle w:val="NormaleWeb"/>
        <w:ind w:left="1701" w:hanging="1843"/>
        <w:jc w:val="both"/>
        <w:rPr>
          <w:rFonts w:ascii="Verdana" w:hAnsi="Verdana"/>
        </w:rPr>
      </w:pPr>
      <w:r>
        <w:rPr>
          <w:rFonts w:ascii="Verdana" w:hAnsi="Verdana"/>
          <w:b/>
          <w:bCs/>
        </w:rPr>
        <w:t xml:space="preserve">Dato Atto </w:t>
      </w:r>
      <w:r>
        <w:rPr>
          <w:rFonts w:ascii="Verdana" w:hAnsi="Verdana"/>
        </w:rPr>
        <w:t xml:space="preserve">        che i lavori da eseguire con l’Accordo Quadro rientrano nella fattispecie del primo periodo della lett. b) dell’art. 1-comma2- del D.L.76/2020 convertito con la legge 120/2020, secondo la quale è bastevole la previa consultazione di almeno cinque operatori economici per negoziare le attività di esecuzione delle </w:t>
      </w:r>
      <w:proofErr w:type="spellStart"/>
      <w:r>
        <w:rPr>
          <w:rFonts w:ascii="Verdana" w:hAnsi="Verdana"/>
        </w:rPr>
        <w:t>appaltande</w:t>
      </w:r>
      <w:proofErr w:type="spellEnd"/>
      <w:r>
        <w:rPr>
          <w:rFonts w:ascii="Verdana" w:hAnsi="Verdana"/>
        </w:rPr>
        <w:t xml:space="preserve"> opere;</w:t>
      </w:r>
    </w:p>
    <w:p w14:paraId="3776BC28" w14:textId="0F0DC7E8" w:rsidR="00A711A9" w:rsidRDefault="00B32004" w:rsidP="00B32004">
      <w:pPr>
        <w:pStyle w:val="NormaleWeb"/>
        <w:ind w:left="1701" w:hanging="1843"/>
        <w:jc w:val="both"/>
        <w:rPr>
          <w:rFonts w:ascii="Verdana" w:hAnsi="Verdana"/>
        </w:rPr>
      </w:pPr>
      <w:r>
        <w:rPr>
          <w:rFonts w:ascii="Verdana" w:hAnsi="Verdana"/>
          <w:b/>
          <w:bCs/>
          <w:color w:val="000000"/>
        </w:rPr>
        <w:t>Considerato</w:t>
      </w:r>
      <w:r>
        <w:rPr>
          <w:rFonts w:ascii="Verdana" w:hAnsi="Verdana"/>
          <w:color w:val="000000"/>
        </w:rPr>
        <w:t xml:space="preserve">    che questa Direzione regionale INPS FVG provvederà pertanto a stipulare un Accordo Quadro per la esecuzione della </w:t>
      </w:r>
      <w:r>
        <w:rPr>
          <w:rFonts w:ascii="Verdana" w:hAnsi="Verdana"/>
        </w:rPr>
        <w:t xml:space="preserve">manutenzione e </w:t>
      </w:r>
      <w:proofErr w:type="gramStart"/>
      <w:r>
        <w:rPr>
          <w:rFonts w:ascii="Verdana" w:hAnsi="Verdana"/>
        </w:rPr>
        <w:t>dell’ adeguamento</w:t>
      </w:r>
      <w:proofErr w:type="gramEnd"/>
      <w:r>
        <w:rPr>
          <w:rFonts w:ascii="Verdana" w:hAnsi="Verdana"/>
        </w:rPr>
        <w:t xml:space="preserve"> degli impianti interni elettrici e speciali,  preliminari al progetto di trasferimento nell’ immobile di via Ghiberti n. 4 della Sede Provinciale INPS di Trieste, in attuazione delle previsioni del PTL 2020-01-FVG-0022 optando </w:t>
      </w:r>
      <w:r w:rsidR="008D0C50">
        <w:rPr>
          <w:rFonts w:ascii="Verdana" w:hAnsi="Verdana"/>
        </w:rPr>
        <w:t xml:space="preserve"> </w:t>
      </w:r>
      <w:r>
        <w:rPr>
          <w:rFonts w:ascii="Verdana" w:hAnsi="Verdana"/>
        </w:rPr>
        <w:t>per</w:t>
      </w:r>
      <w:r w:rsidR="008D0C50">
        <w:rPr>
          <w:rFonts w:ascii="Verdana" w:hAnsi="Verdana"/>
        </w:rPr>
        <w:t xml:space="preserve"> </w:t>
      </w:r>
      <w:r>
        <w:rPr>
          <w:rFonts w:ascii="Verdana" w:hAnsi="Verdana"/>
        </w:rPr>
        <w:t xml:space="preserve"> lo </w:t>
      </w:r>
      <w:r w:rsidR="008D0C50">
        <w:rPr>
          <w:rFonts w:ascii="Verdana" w:hAnsi="Verdana"/>
        </w:rPr>
        <w:t xml:space="preserve"> </w:t>
      </w:r>
      <w:r>
        <w:rPr>
          <w:rFonts w:ascii="Verdana" w:hAnsi="Verdana"/>
        </w:rPr>
        <w:t>svolgimento</w:t>
      </w:r>
      <w:r w:rsidR="008D0C50">
        <w:rPr>
          <w:rFonts w:ascii="Verdana" w:hAnsi="Verdana"/>
        </w:rPr>
        <w:t xml:space="preserve"> </w:t>
      </w:r>
      <w:r>
        <w:rPr>
          <w:rFonts w:ascii="Verdana" w:hAnsi="Verdana"/>
        </w:rPr>
        <w:t xml:space="preserve"> di </w:t>
      </w:r>
      <w:r w:rsidR="008D0C50">
        <w:rPr>
          <w:rFonts w:ascii="Verdana" w:hAnsi="Verdana"/>
        </w:rPr>
        <w:t xml:space="preserve"> </w:t>
      </w:r>
      <w:r>
        <w:rPr>
          <w:rFonts w:ascii="Verdana" w:hAnsi="Verdana"/>
          <w:color w:val="000000"/>
        </w:rPr>
        <w:t>una</w:t>
      </w:r>
      <w:r w:rsidR="008D0C50">
        <w:rPr>
          <w:rFonts w:ascii="Verdana" w:hAnsi="Verdana"/>
          <w:color w:val="000000"/>
        </w:rPr>
        <w:t xml:space="preserve"> </w:t>
      </w:r>
      <w:r>
        <w:rPr>
          <w:rFonts w:ascii="Verdana" w:hAnsi="Verdana"/>
          <w:color w:val="000000"/>
        </w:rPr>
        <w:t xml:space="preserve"> </w:t>
      </w:r>
      <w:r>
        <w:rPr>
          <w:rFonts w:ascii="Verdana" w:hAnsi="Verdana"/>
        </w:rPr>
        <w:t>procedura</w:t>
      </w:r>
      <w:r w:rsidR="008D0C50">
        <w:rPr>
          <w:rFonts w:ascii="Verdana" w:hAnsi="Verdana"/>
        </w:rPr>
        <w:t xml:space="preserve"> </w:t>
      </w:r>
      <w:r>
        <w:rPr>
          <w:rFonts w:ascii="Verdana" w:hAnsi="Verdana"/>
        </w:rPr>
        <w:t xml:space="preserve"> negoziata, </w:t>
      </w:r>
    </w:p>
    <w:p w14:paraId="24B9C6E6" w14:textId="5572FD92" w:rsidR="00B32004" w:rsidRDefault="00B32004" w:rsidP="00A711A9">
      <w:pPr>
        <w:pStyle w:val="NormaleWeb"/>
        <w:ind w:left="1701"/>
        <w:jc w:val="both"/>
        <w:rPr>
          <w:rFonts w:ascii="Verdana" w:hAnsi="Verdana"/>
        </w:rPr>
      </w:pPr>
      <w:r>
        <w:rPr>
          <w:rFonts w:ascii="Verdana" w:hAnsi="Verdana"/>
        </w:rPr>
        <w:lastRenderedPageBreak/>
        <w:t xml:space="preserve">senza bando, sulla piattaforma MEPA, previa consultazione di almeno quindici operatori </w:t>
      </w:r>
      <w:proofErr w:type="gramStart"/>
      <w:r>
        <w:rPr>
          <w:rFonts w:ascii="Verdana" w:hAnsi="Verdana"/>
        </w:rPr>
        <w:t>economici  ritenendo</w:t>
      </w:r>
      <w:proofErr w:type="gramEnd"/>
      <w:r>
        <w:rPr>
          <w:rFonts w:ascii="Verdana" w:hAnsi="Verdana"/>
        </w:rPr>
        <w:t>, nell’esercizio delle proprie valutazioni discrezionali che sia più vantaggioso per l’Istituto mettere a confronto un maggiore numero di offerenti e incrementare così la migliore concorrenzialità tra le imprese interessate alle commesse pubbliche;</w:t>
      </w:r>
    </w:p>
    <w:p w14:paraId="061019C9" w14:textId="77777777" w:rsidR="00B32004" w:rsidRDefault="00B32004" w:rsidP="00B32004">
      <w:pPr>
        <w:spacing w:line="240" w:lineRule="auto"/>
        <w:ind w:left="1701" w:hanging="1701"/>
        <w:jc w:val="both"/>
        <w:rPr>
          <w:rFonts w:ascii="Verdana" w:hAnsi="Verdana"/>
          <w:color w:val="000000"/>
        </w:rPr>
      </w:pPr>
      <w:r>
        <w:rPr>
          <w:rFonts w:ascii="Verdana" w:hAnsi="Verdana"/>
          <w:color w:val="000000"/>
        </w:rPr>
        <w:t xml:space="preserve">                      di prevedere il criterio </w:t>
      </w:r>
      <w:r>
        <w:rPr>
          <w:rFonts w:ascii="Verdana" w:hAnsi="Verdana"/>
        </w:rPr>
        <w:t xml:space="preserve">del minor prezzo, ai sensi dell’art. 36, comma 9-bis, del Codice dei contratti pubblici, al fine di selezionare il futuro </w:t>
      </w:r>
      <w:r>
        <w:rPr>
          <w:rFonts w:ascii="Verdana" w:hAnsi="Verdana"/>
          <w:color w:val="000000"/>
        </w:rPr>
        <w:t>contraente;</w:t>
      </w:r>
    </w:p>
    <w:p w14:paraId="32B9D849" w14:textId="77777777" w:rsidR="00B32004" w:rsidRDefault="00B32004" w:rsidP="00B32004">
      <w:pPr>
        <w:spacing w:line="240" w:lineRule="auto"/>
        <w:ind w:left="1701" w:hanging="1701"/>
        <w:jc w:val="both"/>
        <w:rPr>
          <w:rFonts w:ascii="Verdana" w:hAnsi="Verdana"/>
          <w:color w:val="000000"/>
        </w:rPr>
      </w:pPr>
      <w:r>
        <w:rPr>
          <w:rFonts w:ascii="Verdana" w:hAnsi="Verdana"/>
          <w:b/>
          <w:bCs/>
          <w:color w:val="000000"/>
        </w:rPr>
        <w:t>                       </w:t>
      </w:r>
      <w:r>
        <w:rPr>
          <w:rFonts w:ascii="Verdana" w:hAnsi="Verdana"/>
          <w:color w:val="000000"/>
        </w:rPr>
        <w:t xml:space="preserve">di omettere la richiesta della garanzia provvisoria prevista dall’art. 93 del d.lgs.50/2016 </w:t>
      </w:r>
      <w:proofErr w:type="spellStart"/>
      <w:r>
        <w:rPr>
          <w:rFonts w:ascii="Verdana" w:hAnsi="Verdana"/>
          <w:color w:val="000000"/>
        </w:rPr>
        <w:t>ss.mm.ii</w:t>
      </w:r>
      <w:proofErr w:type="spellEnd"/>
      <w:r>
        <w:rPr>
          <w:rFonts w:ascii="Verdana" w:hAnsi="Verdana"/>
          <w:color w:val="000000"/>
        </w:rPr>
        <w:t xml:space="preserve">. tenuto conto che in base all’art. 1 – 4 comma- del D.L. 76/2010 convertito nella legge 120/2020 tale garanzia non è obbligatoria, e che omettendola si evita di porre a carico delle imprese, soprattutto quelle di minori dimensioni, ulteriori aggravi di spese; </w:t>
      </w:r>
    </w:p>
    <w:p w14:paraId="1EAB3F10" w14:textId="77777777" w:rsidR="00B32004" w:rsidRDefault="00B32004" w:rsidP="00B32004">
      <w:pPr>
        <w:spacing w:line="240" w:lineRule="auto"/>
        <w:ind w:left="1701" w:hanging="1701"/>
        <w:jc w:val="both"/>
        <w:rPr>
          <w:rFonts w:ascii="Verdana" w:hAnsi="Verdana"/>
        </w:rPr>
      </w:pPr>
      <w:r>
        <w:rPr>
          <w:rFonts w:ascii="Verdana" w:hAnsi="Verdana"/>
          <w:b/>
          <w:bCs/>
          <w:color w:val="000000"/>
        </w:rPr>
        <w:t xml:space="preserve">                      </w:t>
      </w:r>
      <w:r>
        <w:rPr>
          <w:rFonts w:ascii="Verdana" w:hAnsi="Verdana"/>
          <w:color w:val="000000"/>
        </w:rPr>
        <w:t xml:space="preserve">di limitare </w:t>
      </w:r>
      <w:r>
        <w:rPr>
          <w:rFonts w:ascii="Verdana" w:hAnsi="Verdana"/>
        </w:rPr>
        <w:t xml:space="preserve">il subappalto al solo 30%, senza utilizzare il limite massimo del 40% consentito con la deroga temporanea introdotta fino al 31/12/2020 dall’art. 1 comma 18 del D.L. 18/04/2019 n.32 convertito con modifiche con la Legge 14/06/2019 n. 55, in quanto i lavori in oggetto necessitano di essere massimamente controllati, perché svolti all’interno di edifici complessi che erogano servizi pubblici e svolgono pubbliche funzioni amministrative; </w:t>
      </w:r>
    </w:p>
    <w:p w14:paraId="2A9F1AC9" w14:textId="77777777" w:rsidR="00B32004" w:rsidRDefault="00B32004" w:rsidP="00B32004">
      <w:pPr>
        <w:spacing w:line="240" w:lineRule="auto"/>
        <w:ind w:left="1701" w:hanging="1701"/>
        <w:jc w:val="both"/>
        <w:rPr>
          <w:rFonts w:ascii="Verdana" w:hAnsi="Verdana"/>
        </w:rPr>
      </w:pPr>
      <w:r>
        <w:rPr>
          <w:rFonts w:ascii="Verdana" w:hAnsi="Verdana"/>
          <w:b/>
          <w:bCs/>
        </w:rPr>
        <w:t>Ritenuto</w:t>
      </w:r>
      <w:r>
        <w:rPr>
          <w:rFonts w:ascii="Verdana" w:hAnsi="Verdana"/>
        </w:rPr>
        <w:t xml:space="preserve">        che per rendere nuovamente funzionale l’immobile esistente di Via Ghiberti n. 4 per collocarvi la Sede provinciale INPS di</w:t>
      </w:r>
      <w:r>
        <w:rPr>
          <w:rFonts w:ascii="Verdana" w:hAnsi="Verdana"/>
          <w:color w:val="FF0000"/>
        </w:rPr>
        <w:t xml:space="preserve"> </w:t>
      </w:r>
      <w:r>
        <w:rPr>
          <w:rFonts w:ascii="Verdana" w:hAnsi="Verdana"/>
        </w:rPr>
        <w:t>Trieste sono necessari interventi di vario tipo, consistenti nella manutenzione e adeguamento degli impianti interni elettrici e speciali, degli impianti di rilevazione e spegnimento incendi, degli impianti termici e altri ancora, quali l’esecuzione di opere edili di differente livello;</w:t>
      </w:r>
    </w:p>
    <w:p w14:paraId="34D35FEC" w14:textId="77777777" w:rsidR="00B32004" w:rsidRDefault="00B32004" w:rsidP="00B32004">
      <w:pPr>
        <w:spacing w:line="240" w:lineRule="auto"/>
        <w:ind w:left="1701"/>
        <w:jc w:val="both"/>
        <w:rPr>
          <w:rFonts w:ascii="Verdana" w:hAnsi="Verdana"/>
        </w:rPr>
      </w:pPr>
      <w:r>
        <w:rPr>
          <w:rFonts w:ascii="Verdana" w:hAnsi="Verdana"/>
        </w:rPr>
        <w:t>che tali operazioni non sono allo stato attuale completamente definibili per la loro natura manutentiva, che comporta la necessità di effettuare ulteriori verifiche e prove preliminari, anche di funzionamento, da realizzarsi direttamente sulle componenti esistenti, previa esecuzione di riparazioni preliminari, opere e lavori;</w:t>
      </w:r>
    </w:p>
    <w:p w14:paraId="2C139E7A" w14:textId="77777777" w:rsidR="00B32004" w:rsidRDefault="00B32004" w:rsidP="00B32004">
      <w:pPr>
        <w:spacing w:line="240" w:lineRule="auto"/>
        <w:ind w:left="1701"/>
        <w:jc w:val="both"/>
        <w:rPr>
          <w:rFonts w:ascii="Verdana" w:hAnsi="Verdana"/>
        </w:rPr>
      </w:pPr>
      <w:r>
        <w:rPr>
          <w:rFonts w:ascii="Verdana" w:hAnsi="Verdana"/>
        </w:rPr>
        <w:t>che questi lavori, in particolare quelli di natura impiantistica, possono essere utilmente affidati sin da subito, separatamente, con risparmio di tempo in modo da rispettare la scadenza prevista per il trasferimento della sede nell’immobile di Via Ghiberti n.4 in Trieste, evitando le connesse conseguenze finanziarie negative per l’Istituto;</w:t>
      </w:r>
    </w:p>
    <w:p w14:paraId="655385FE" w14:textId="011AF44F" w:rsidR="00997C14" w:rsidRDefault="00B32004" w:rsidP="00B32004">
      <w:pPr>
        <w:spacing w:line="240" w:lineRule="auto"/>
        <w:ind w:left="1701" w:hanging="1701"/>
        <w:jc w:val="both"/>
        <w:rPr>
          <w:rFonts w:ascii="Verdana" w:hAnsi="Verdana"/>
        </w:rPr>
      </w:pPr>
      <w:r>
        <w:rPr>
          <w:rFonts w:ascii="Verdana" w:hAnsi="Verdana"/>
          <w:b/>
          <w:bCs/>
        </w:rPr>
        <w:t xml:space="preserve">                     </w:t>
      </w:r>
      <w:r>
        <w:rPr>
          <w:rFonts w:ascii="Verdana" w:hAnsi="Verdana"/>
        </w:rPr>
        <w:t>che l’Istituto può pertanto procedere ad affidare ed eseguire separatamente i suddetti lavori manutentivi e di adeguamento delle componenti impiantistiche elettriche speciali, in modo che a ciascuna procedura negoziata siano invitati (almeno 15) operatori specializzati in una precisa attività, in grado quindi di garantire una prestazione di risultato maggiormente apprezzabile da un punto di</w:t>
      </w:r>
      <w:r w:rsidR="00352FA6">
        <w:rPr>
          <w:rFonts w:ascii="Verdana" w:hAnsi="Verdana"/>
        </w:rPr>
        <w:t xml:space="preserve"> </w:t>
      </w:r>
      <w:r>
        <w:rPr>
          <w:rFonts w:ascii="Verdana" w:hAnsi="Verdana"/>
        </w:rPr>
        <w:t xml:space="preserve"> vista </w:t>
      </w:r>
      <w:r w:rsidR="00352FA6">
        <w:rPr>
          <w:rFonts w:ascii="Verdana" w:hAnsi="Verdana"/>
        </w:rPr>
        <w:t xml:space="preserve"> </w:t>
      </w:r>
      <w:r>
        <w:rPr>
          <w:rFonts w:ascii="Verdana" w:hAnsi="Verdana"/>
        </w:rPr>
        <w:t xml:space="preserve">qualitativo, con procedura analoga </w:t>
      </w:r>
      <w:r w:rsidR="00352FA6">
        <w:rPr>
          <w:rFonts w:ascii="Verdana" w:hAnsi="Verdana"/>
        </w:rPr>
        <w:t xml:space="preserve"> </w:t>
      </w:r>
      <w:r>
        <w:rPr>
          <w:rFonts w:ascii="Verdana" w:hAnsi="Verdana"/>
        </w:rPr>
        <w:t xml:space="preserve">agli </w:t>
      </w:r>
      <w:r w:rsidR="00352FA6">
        <w:rPr>
          <w:rFonts w:ascii="Verdana" w:hAnsi="Verdana"/>
        </w:rPr>
        <w:t xml:space="preserve"> </w:t>
      </w:r>
      <w:r>
        <w:rPr>
          <w:rFonts w:ascii="Verdana" w:hAnsi="Verdana"/>
        </w:rPr>
        <w:t xml:space="preserve">affidamenti </w:t>
      </w:r>
      <w:r w:rsidR="00352FA6">
        <w:rPr>
          <w:rFonts w:ascii="Verdana" w:hAnsi="Verdana"/>
        </w:rPr>
        <w:t xml:space="preserve"> </w:t>
      </w:r>
      <w:r>
        <w:rPr>
          <w:rFonts w:ascii="Verdana" w:hAnsi="Verdana"/>
        </w:rPr>
        <w:t xml:space="preserve">previsti </w:t>
      </w:r>
      <w:r w:rsidR="00352FA6">
        <w:rPr>
          <w:rFonts w:ascii="Verdana" w:hAnsi="Verdana"/>
        </w:rPr>
        <w:t xml:space="preserve"> </w:t>
      </w:r>
      <w:r>
        <w:rPr>
          <w:rFonts w:ascii="Verdana" w:hAnsi="Verdana"/>
        </w:rPr>
        <w:t>attualmente</w:t>
      </w:r>
      <w:r w:rsidR="00352FA6">
        <w:rPr>
          <w:rFonts w:ascii="Verdana" w:hAnsi="Verdana"/>
        </w:rPr>
        <w:t xml:space="preserve"> </w:t>
      </w:r>
      <w:r>
        <w:rPr>
          <w:rFonts w:ascii="Verdana" w:hAnsi="Verdana"/>
        </w:rPr>
        <w:t xml:space="preserve"> fino alla soglia </w:t>
      </w:r>
      <w:r w:rsidR="00352FA6">
        <w:rPr>
          <w:rFonts w:ascii="Verdana" w:hAnsi="Verdana"/>
        </w:rPr>
        <w:t xml:space="preserve"> </w:t>
      </w:r>
      <w:r>
        <w:rPr>
          <w:rFonts w:ascii="Verdana" w:hAnsi="Verdana"/>
        </w:rPr>
        <w:t xml:space="preserve">comunitaria per i </w:t>
      </w:r>
      <w:r w:rsidR="00352FA6">
        <w:rPr>
          <w:rFonts w:ascii="Verdana" w:hAnsi="Verdana"/>
        </w:rPr>
        <w:t xml:space="preserve"> </w:t>
      </w:r>
      <w:r>
        <w:rPr>
          <w:rFonts w:ascii="Verdana" w:hAnsi="Verdana"/>
        </w:rPr>
        <w:t xml:space="preserve">lavori di cui </w:t>
      </w:r>
      <w:r w:rsidR="00352FA6">
        <w:rPr>
          <w:rFonts w:ascii="Verdana" w:hAnsi="Verdana"/>
        </w:rPr>
        <w:t xml:space="preserve"> </w:t>
      </w:r>
      <w:r>
        <w:rPr>
          <w:rFonts w:ascii="Verdana" w:hAnsi="Verdana"/>
        </w:rPr>
        <w:t xml:space="preserve">all’art. 35 del Codice dei </w:t>
      </w:r>
      <w:r w:rsidR="00352FA6">
        <w:rPr>
          <w:rFonts w:ascii="Verdana" w:hAnsi="Verdana"/>
        </w:rPr>
        <w:t xml:space="preserve"> </w:t>
      </w:r>
      <w:r>
        <w:rPr>
          <w:rFonts w:ascii="Verdana" w:hAnsi="Verdana"/>
        </w:rPr>
        <w:t xml:space="preserve">Contratti </w:t>
      </w:r>
    </w:p>
    <w:p w14:paraId="7EB191F6" w14:textId="77777777" w:rsidR="00997C14" w:rsidRDefault="00997C14" w:rsidP="00B32004">
      <w:pPr>
        <w:spacing w:line="240" w:lineRule="auto"/>
        <w:ind w:left="1701" w:hanging="1701"/>
        <w:jc w:val="both"/>
        <w:rPr>
          <w:rFonts w:ascii="Verdana" w:hAnsi="Verdana"/>
        </w:rPr>
      </w:pPr>
    </w:p>
    <w:p w14:paraId="4A6320A2" w14:textId="0A35432B" w:rsidR="009F3F35" w:rsidRDefault="00B32004" w:rsidP="006C4B20">
      <w:pPr>
        <w:spacing w:line="240" w:lineRule="auto"/>
        <w:ind w:left="1701"/>
        <w:jc w:val="both"/>
        <w:rPr>
          <w:rFonts w:ascii="Verdana" w:hAnsi="Verdana"/>
        </w:rPr>
      </w:pPr>
      <w:r>
        <w:rPr>
          <w:rFonts w:ascii="Verdana" w:hAnsi="Verdana"/>
        </w:rPr>
        <w:lastRenderedPageBreak/>
        <w:t>pubblici, ai sensi dell’art. 1 del DL 76/2020 come convertito con L. 120/2020;</w:t>
      </w:r>
      <w:r w:rsidR="009F3F35">
        <w:rPr>
          <w:rFonts w:ascii="Verdana" w:hAnsi="Verdana"/>
        </w:rPr>
        <w:t xml:space="preserve"> </w:t>
      </w:r>
    </w:p>
    <w:p w14:paraId="0B98744C" w14:textId="159CD45C" w:rsidR="00B32004" w:rsidRDefault="00B32004" w:rsidP="00B32004">
      <w:pPr>
        <w:spacing w:line="240" w:lineRule="auto"/>
        <w:ind w:left="1701" w:hanging="1701"/>
        <w:jc w:val="both"/>
        <w:rPr>
          <w:rFonts w:ascii="Verdana" w:hAnsi="Verdana"/>
        </w:rPr>
      </w:pPr>
      <w:r>
        <w:rPr>
          <w:rFonts w:ascii="Verdana" w:hAnsi="Verdana"/>
          <w:b/>
          <w:bCs/>
        </w:rPr>
        <w:t>          </w:t>
      </w:r>
      <w:r w:rsidR="00542C37">
        <w:rPr>
          <w:rFonts w:ascii="Verdana" w:hAnsi="Verdana"/>
          <w:b/>
          <w:bCs/>
        </w:rPr>
        <w:t xml:space="preserve">  </w:t>
      </w:r>
      <w:r w:rsidR="006C4B20">
        <w:rPr>
          <w:rFonts w:ascii="Verdana" w:hAnsi="Verdana"/>
          <w:b/>
          <w:bCs/>
        </w:rPr>
        <w:tab/>
      </w:r>
      <w:r>
        <w:rPr>
          <w:rFonts w:ascii="Verdana" w:hAnsi="Verdana"/>
        </w:rPr>
        <w:t xml:space="preserve">che una tale opzione amministrativa potrà incrementare </w:t>
      </w:r>
      <w:proofErr w:type="gramStart"/>
      <w:r>
        <w:rPr>
          <w:rFonts w:ascii="Verdana" w:hAnsi="Verdana"/>
        </w:rPr>
        <w:t>la  partecipazione</w:t>
      </w:r>
      <w:proofErr w:type="gramEnd"/>
      <w:r>
        <w:rPr>
          <w:rFonts w:ascii="Verdana" w:hAnsi="Verdana"/>
        </w:rPr>
        <w:t xml:space="preserve"> alle commesse pubbliche da parte di micro e piccole imprese specializzate in precisi settori del mercato di specie;</w:t>
      </w:r>
    </w:p>
    <w:p w14:paraId="72B23C6E" w14:textId="77777777" w:rsidR="00B32004" w:rsidRDefault="00B32004" w:rsidP="00B32004">
      <w:pPr>
        <w:spacing w:line="240" w:lineRule="auto"/>
        <w:ind w:left="1701" w:hanging="1701"/>
        <w:jc w:val="both"/>
        <w:rPr>
          <w:rFonts w:ascii="Verdana" w:hAnsi="Verdana"/>
        </w:rPr>
      </w:pPr>
      <w:r>
        <w:rPr>
          <w:rFonts w:ascii="Verdana" w:hAnsi="Verdana"/>
        </w:rPr>
        <w:t>                     che tale opzione risponde al principio previsto dal comma 7 dell’art. 30. (Principi per l'aggiudicazione e l’esecuzione di appalti e concessioni) secondo il quale: “</w:t>
      </w:r>
      <w:r>
        <w:rPr>
          <w:rFonts w:ascii="Verdana" w:hAnsi="Verdana"/>
          <w:i/>
          <w:iCs/>
        </w:rPr>
        <w:t xml:space="preserve">I criteri di partecipazione alle gare devono essere tali da non escludere le microimprese, le piccole e le medie imprese.”, </w:t>
      </w:r>
      <w:r>
        <w:rPr>
          <w:rFonts w:ascii="Verdana" w:hAnsi="Verdana"/>
        </w:rPr>
        <w:t>in un’ottica di sostegno alle micro, piccole e medi imprese che rappresentano una parte considerevole del tessuto economico italiano;</w:t>
      </w:r>
    </w:p>
    <w:p w14:paraId="3AC54A56" w14:textId="77777777" w:rsidR="00B32004" w:rsidRDefault="00B32004" w:rsidP="00B32004">
      <w:pPr>
        <w:spacing w:line="240" w:lineRule="auto"/>
        <w:ind w:left="1701" w:hanging="1701"/>
        <w:jc w:val="both"/>
        <w:rPr>
          <w:rFonts w:ascii="Verdana" w:hAnsi="Verdana"/>
        </w:rPr>
      </w:pPr>
      <w:r>
        <w:rPr>
          <w:rFonts w:ascii="Verdana" w:hAnsi="Verdana"/>
          <w:b/>
          <w:bCs/>
        </w:rPr>
        <w:t xml:space="preserve">Evidenziato   </w:t>
      </w:r>
      <w:r>
        <w:rPr>
          <w:rFonts w:ascii="Verdana" w:hAnsi="Verdana"/>
          <w:color w:val="000000"/>
        </w:rPr>
        <w:t xml:space="preserve">che l’importo stimato sarà imputato e autorizzato al capitolo di spesa 5U211201007 del bilancio INPS del corrente </w:t>
      </w:r>
      <w:r>
        <w:rPr>
          <w:rFonts w:ascii="Verdana" w:hAnsi="Verdana"/>
        </w:rPr>
        <w:t>anno 2020, e che esso è così articolato:</w:t>
      </w:r>
      <w:r>
        <w:rPr>
          <w:rFonts w:ascii="Verdana" w:hAnsi="Verdana"/>
          <w:b/>
          <w:bCs/>
        </w:rPr>
        <w:t xml:space="preserve">                     </w:t>
      </w:r>
    </w:p>
    <w:tbl>
      <w:tblPr>
        <w:tblW w:w="9644" w:type="dxa"/>
        <w:tblInd w:w="416" w:type="dxa"/>
        <w:tblCellMar>
          <w:left w:w="0" w:type="dxa"/>
          <w:right w:w="0" w:type="dxa"/>
        </w:tblCellMar>
        <w:tblLook w:val="04A0" w:firstRow="1" w:lastRow="0" w:firstColumn="1" w:lastColumn="0" w:noHBand="0" w:noVBand="1"/>
      </w:tblPr>
      <w:tblGrid>
        <w:gridCol w:w="3853"/>
        <w:gridCol w:w="2609"/>
        <w:gridCol w:w="3182"/>
      </w:tblGrid>
      <w:tr w:rsidR="00B32004" w14:paraId="45E584B0" w14:textId="77777777" w:rsidTr="00542C37">
        <w:tc>
          <w:tcPr>
            <w:tcW w:w="3853"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14:paraId="3DC1A12E" w14:textId="77777777" w:rsidR="00B32004" w:rsidRDefault="00B32004">
            <w:pPr>
              <w:jc w:val="center"/>
              <w:rPr>
                <w:rFonts w:ascii="Verdana" w:hAnsi="Verdana"/>
                <w:b/>
                <w:bCs/>
              </w:rPr>
            </w:pPr>
            <w:r>
              <w:rPr>
                <w:rFonts w:ascii="Verdana" w:hAnsi="Verdana"/>
                <w:b/>
                <w:bCs/>
              </w:rPr>
              <w:t xml:space="preserve">Lavori </w:t>
            </w:r>
          </w:p>
        </w:tc>
        <w:tc>
          <w:tcPr>
            <w:tcW w:w="2609" w:type="dxa"/>
            <w:tcBorders>
              <w:top w:val="dotted" w:sz="8" w:space="0" w:color="auto"/>
              <w:left w:val="nil"/>
              <w:bottom w:val="dotted" w:sz="8" w:space="0" w:color="auto"/>
              <w:right w:val="dotted" w:sz="8" w:space="0" w:color="auto"/>
            </w:tcBorders>
            <w:tcMar>
              <w:top w:w="0" w:type="dxa"/>
              <w:left w:w="108" w:type="dxa"/>
              <w:bottom w:w="0" w:type="dxa"/>
              <w:right w:w="108" w:type="dxa"/>
            </w:tcMar>
            <w:hideMark/>
          </w:tcPr>
          <w:p w14:paraId="485136AE" w14:textId="77777777" w:rsidR="00B32004" w:rsidRDefault="00B32004">
            <w:pPr>
              <w:jc w:val="center"/>
              <w:rPr>
                <w:rFonts w:ascii="Verdana" w:hAnsi="Verdana"/>
                <w:b/>
                <w:bCs/>
              </w:rPr>
            </w:pPr>
            <w:r>
              <w:rPr>
                <w:rFonts w:ascii="Verdana" w:hAnsi="Verdana"/>
                <w:b/>
                <w:bCs/>
              </w:rPr>
              <w:t>IVA 22%</w:t>
            </w:r>
          </w:p>
        </w:tc>
        <w:tc>
          <w:tcPr>
            <w:tcW w:w="3182" w:type="dxa"/>
            <w:tcBorders>
              <w:top w:val="dotted" w:sz="8" w:space="0" w:color="auto"/>
              <w:left w:val="nil"/>
              <w:bottom w:val="dotted" w:sz="8" w:space="0" w:color="auto"/>
              <w:right w:val="dotted" w:sz="8" w:space="0" w:color="auto"/>
            </w:tcBorders>
            <w:tcMar>
              <w:top w:w="0" w:type="dxa"/>
              <w:left w:w="108" w:type="dxa"/>
              <w:bottom w:w="0" w:type="dxa"/>
              <w:right w:w="108" w:type="dxa"/>
            </w:tcMar>
            <w:hideMark/>
          </w:tcPr>
          <w:p w14:paraId="6EAB8A4C" w14:textId="77777777" w:rsidR="00B32004" w:rsidRDefault="00B32004">
            <w:pPr>
              <w:jc w:val="center"/>
              <w:rPr>
                <w:rFonts w:ascii="Verdana" w:hAnsi="Verdana"/>
                <w:b/>
                <w:bCs/>
              </w:rPr>
            </w:pPr>
            <w:r>
              <w:rPr>
                <w:rFonts w:ascii="Verdana" w:hAnsi="Verdana"/>
                <w:b/>
                <w:bCs/>
              </w:rPr>
              <w:t>Totale con IVA</w:t>
            </w:r>
          </w:p>
        </w:tc>
      </w:tr>
      <w:tr w:rsidR="00B32004" w14:paraId="48209EFA" w14:textId="77777777" w:rsidTr="00542C37">
        <w:tc>
          <w:tcPr>
            <w:tcW w:w="385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1120302D" w14:textId="77777777" w:rsidR="00B32004" w:rsidRDefault="00B32004">
            <w:pPr>
              <w:jc w:val="center"/>
              <w:rPr>
                <w:rFonts w:ascii="Verdana" w:hAnsi="Verdana"/>
              </w:rPr>
            </w:pPr>
            <w:r>
              <w:rPr>
                <w:rFonts w:ascii="Verdana" w:hAnsi="Verdana"/>
              </w:rPr>
              <w:t>            € 278.000,00</w:t>
            </w:r>
          </w:p>
        </w:tc>
        <w:tc>
          <w:tcPr>
            <w:tcW w:w="2609" w:type="dxa"/>
            <w:tcBorders>
              <w:top w:val="nil"/>
              <w:left w:val="nil"/>
              <w:bottom w:val="dotted" w:sz="8" w:space="0" w:color="auto"/>
              <w:right w:val="dotted" w:sz="8" w:space="0" w:color="auto"/>
            </w:tcBorders>
            <w:tcMar>
              <w:top w:w="0" w:type="dxa"/>
              <w:left w:w="108" w:type="dxa"/>
              <w:bottom w:w="0" w:type="dxa"/>
              <w:right w:w="108" w:type="dxa"/>
            </w:tcMar>
            <w:hideMark/>
          </w:tcPr>
          <w:p w14:paraId="1AE4F8D4" w14:textId="77777777" w:rsidR="00B32004" w:rsidRDefault="00B32004">
            <w:pPr>
              <w:jc w:val="center"/>
              <w:rPr>
                <w:rFonts w:ascii="Verdana" w:hAnsi="Verdana"/>
              </w:rPr>
            </w:pPr>
            <w:r>
              <w:rPr>
                <w:rFonts w:ascii="Verdana" w:hAnsi="Verdana"/>
              </w:rPr>
              <w:t>      €    61.160,00  </w:t>
            </w:r>
          </w:p>
        </w:tc>
        <w:tc>
          <w:tcPr>
            <w:tcW w:w="3182" w:type="dxa"/>
            <w:tcBorders>
              <w:top w:val="nil"/>
              <w:left w:val="nil"/>
              <w:bottom w:val="dotted" w:sz="8" w:space="0" w:color="auto"/>
              <w:right w:val="dotted" w:sz="8" w:space="0" w:color="auto"/>
            </w:tcBorders>
            <w:tcMar>
              <w:top w:w="0" w:type="dxa"/>
              <w:left w:w="108" w:type="dxa"/>
              <w:bottom w:w="0" w:type="dxa"/>
              <w:right w:w="108" w:type="dxa"/>
            </w:tcMar>
            <w:hideMark/>
          </w:tcPr>
          <w:p w14:paraId="5D2AA59F" w14:textId="77777777" w:rsidR="00B32004" w:rsidRDefault="00B32004">
            <w:pPr>
              <w:jc w:val="right"/>
              <w:rPr>
                <w:rFonts w:ascii="Verdana" w:hAnsi="Verdana"/>
              </w:rPr>
            </w:pPr>
            <w:proofErr w:type="gramStart"/>
            <w:r>
              <w:rPr>
                <w:rFonts w:ascii="Verdana" w:hAnsi="Verdana"/>
              </w:rPr>
              <w:t>€  339.160</w:t>
            </w:r>
            <w:proofErr w:type="gramEnd"/>
            <w:r>
              <w:rPr>
                <w:rFonts w:ascii="Verdana" w:hAnsi="Verdana"/>
              </w:rPr>
              <w:t>,00    </w:t>
            </w:r>
          </w:p>
        </w:tc>
      </w:tr>
      <w:tr w:rsidR="00B32004" w14:paraId="5429F545" w14:textId="77777777" w:rsidTr="00542C37">
        <w:tc>
          <w:tcPr>
            <w:tcW w:w="385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267FAAF9" w14:textId="77777777" w:rsidR="00B32004" w:rsidRDefault="00B32004">
            <w:pPr>
              <w:jc w:val="both"/>
              <w:rPr>
                <w:rFonts w:ascii="Verdana" w:hAnsi="Verdana"/>
              </w:rPr>
            </w:pPr>
            <w:r>
              <w:rPr>
                <w:rFonts w:ascii="Verdana" w:hAnsi="Verdana"/>
              </w:rPr>
              <w:t xml:space="preserve">di cui   € 5.400,00 per oneri per la sicurezza ex d.lgs. 81/2008 </w:t>
            </w:r>
            <w:proofErr w:type="spellStart"/>
            <w:r>
              <w:rPr>
                <w:rFonts w:ascii="Verdana" w:hAnsi="Verdana"/>
              </w:rPr>
              <w:t>ss.mm.ii</w:t>
            </w:r>
            <w:proofErr w:type="spellEnd"/>
            <w:r>
              <w:rPr>
                <w:rFonts w:ascii="Verdana" w:hAnsi="Verdana"/>
              </w:rPr>
              <w:t>.</w:t>
            </w:r>
          </w:p>
        </w:tc>
        <w:tc>
          <w:tcPr>
            <w:tcW w:w="2609" w:type="dxa"/>
            <w:tcBorders>
              <w:top w:val="nil"/>
              <w:left w:val="nil"/>
              <w:bottom w:val="dotted" w:sz="8" w:space="0" w:color="auto"/>
              <w:right w:val="dotted" w:sz="8" w:space="0" w:color="auto"/>
            </w:tcBorders>
            <w:tcMar>
              <w:top w:w="0" w:type="dxa"/>
              <w:left w:w="108" w:type="dxa"/>
              <w:bottom w:w="0" w:type="dxa"/>
              <w:right w:w="108" w:type="dxa"/>
            </w:tcMar>
          </w:tcPr>
          <w:p w14:paraId="0ACED73F" w14:textId="77777777" w:rsidR="00B32004" w:rsidRDefault="00B32004">
            <w:pPr>
              <w:jc w:val="both"/>
              <w:rPr>
                <w:rFonts w:ascii="Verdana" w:hAnsi="Verdana"/>
              </w:rPr>
            </w:pPr>
          </w:p>
        </w:tc>
        <w:tc>
          <w:tcPr>
            <w:tcW w:w="3182" w:type="dxa"/>
            <w:tcBorders>
              <w:top w:val="nil"/>
              <w:left w:val="nil"/>
              <w:bottom w:val="dotted" w:sz="8" w:space="0" w:color="auto"/>
              <w:right w:val="dotted" w:sz="8" w:space="0" w:color="auto"/>
            </w:tcBorders>
            <w:tcMar>
              <w:top w:w="0" w:type="dxa"/>
              <w:left w:w="108" w:type="dxa"/>
              <w:bottom w:w="0" w:type="dxa"/>
              <w:right w:w="108" w:type="dxa"/>
            </w:tcMar>
          </w:tcPr>
          <w:p w14:paraId="3C24359F" w14:textId="77777777" w:rsidR="00B32004" w:rsidRDefault="00B32004">
            <w:pPr>
              <w:jc w:val="both"/>
              <w:rPr>
                <w:rFonts w:ascii="Verdana" w:hAnsi="Verdana"/>
              </w:rPr>
            </w:pPr>
          </w:p>
        </w:tc>
      </w:tr>
      <w:tr w:rsidR="00B32004" w14:paraId="13BAF045" w14:textId="77777777" w:rsidTr="00542C37">
        <w:tc>
          <w:tcPr>
            <w:tcW w:w="385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68B3301B" w14:textId="77777777" w:rsidR="00B32004" w:rsidRDefault="00B32004">
            <w:pPr>
              <w:jc w:val="both"/>
              <w:rPr>
                <w:rFonts w:ascii="Verdana" w:hAnsi="Verdana"/>
              </w:rPr>
            </w:pPr>
            <w:r>
              <w:rPr>
                <w:rFonts w:ascii="Verdana" w:hAnsi="Verdana"/>
              </w:rPr>
              <w:t xml:space="preserve">€ 5.560,00 ex art. 113 d.lgs. 50/2016 </w:t>
            </w:r>
            <w:proofErr w:type="spellStart"/>
            <w:r>
              <w:rPr>
                <w:rFonts w:ascii="Verdana" w:hAnsi="Verdana"/>
              </w:rPr>
              <w:t>ss.mm.ii</w:t>
            </w:r>
            <w:proofErr w:type="spellEnd"/>
            <w:r>
              <w:rPr>
                <w:rFonts w:ascii="Verdana" w:hAnsi="Verdana"/>
              </w:rPr>
              <w:t xml:space="preserve">. </w:t>
            </w:r>
          </w:p>
        </w:tc>
        <w:tc>
          <w:tcPr>
            <w:tcW w:w="2609" w:type="dxa"/>
            <w:tcBorders>
              <w:top w:val="nil"/>
              <w:left w:val="nil"/>
              <w:bottom w:val="dotted" w:sz="8" w:space="0" w:color="auto"/>
              <w:right w:val="dotted" w:sz="8" w:space="0" w:color="auto"/>
            </w:tcBorders>
            <w:tcMar>
              <w:top w:w="0" w:type="dxa"/>
              <w:left w:w="108" w:type="dxa"/>
              <w:bottom w:w="0" w:type="dxa"/>
              <w:right w:w="108" w:type="dxa"/>
            </w:tcMar>
          </w:tcPr>
          <w:p w14:paraId="3D49660F" w14:textId="77777777" w:rsidR="00B32004" w:rsidRDefault="00B32004">
            <w:pPr>
              <w:jc w:val="both"/>
              <w:rPr>
                <w:rFonts w:ascii="Verdana" w:hAnsi="Verdana"/>
              </w:rPr>
            </w:pPr>
          </w:p>
        </w:tc>
        <w:tc>
          <w:tcPr>
            <w:tcW w:w="3182" w:type="dxa"/>
            <w:tcBorders>
              <w:top w:val="nil"/>
              <w:left w:val="nil"/>
              <w:bottom w:val="dotted" w:sz="8" w:space="0" w:color="auto"/>
              <w:right w:val="dotted" w:sz="8" w:space="0" w:color="auto"/>
            </w:tcBorders>
            <w:tcMar>
              <w:top w:w="0" w:type="dxa"/>
              <w:left w:w="108" w:type="dxa"/>
              <w:bottom w:w="0" w:type="dxa"/>
              <w:right w:w="108" w:type="dxa"/>
            </w:tcMar>
            <w:hideMark/>
          </w:tcPr>
          <w:p w14:paraId="43DD16A7" w14:textId="77777777" w:rsidR="00B32004" w:rsidRDefault="00B32004">
            <w:pPr>
              <w:jc w:val="both"/>
              <w:rPr>
                <w:rFonts w:ascii="Verdana" w:hAnsi="Verdana"/>
              </w:rPr>
            </w:pPr>
            <w:r>
              <w:rPr>
                <w:rFonts w:ascii="Verdana" w:hAnsi="Verdana"/>
              </w:rPr>
              <w:t xml:space="preserve">                 € 344.720,00   </w:t>
            </w:r>
          </w:p>
        </w:tc>
      </w:tr>
      <w:tr w:rsidR="00B32004" w14:paraId="4F91A75B" w14:textId="77777777" w:rsidTr="00542C37">
        <w:tc>
          <w:tcPr>
            <w:tcW w:w="385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05A03441" w14:textId="77777777" w:rsidR="00B32004" w:rsidRDefault="00B32004">
            <w:pPr>
              <w:jc w:val="both"/>
              <w:rPr>
                <w:rFonts w:ascii="Verdana" w:hAnsi="Verdana"/>
              </w:rPr>
            </w:pPr>
            <w:r>
              <w:rPr>
                <w:rFonts w:ascii="Verdana" w:hAnsi="Verdana"/>
                <w:b/>
                <w:bCs/>
              </w:rPr>
              <w:t>Totale anno 2020</w:t>
            </w:r>
          </w:p>
        </w:tc>
        <w:tc>
          <w:tcPr>
            <w:tcW w:w="2609" w:type="dxa"/>
            <w:tcBorders>
              <w:top w:val="nil"/>
              <w:left w:val="nil"/>
              <w:bottom w:val="dotted" w:sz="8" w:space="0" w:color="auto"/>
              <w:right w:val="dotted" w:sz="8" w:space="0" w:color="auto"/>
            </w:tcBorders>
            <w:tcMar>
              <w:top w:w="0" w:type="dxa"/>
              <w:left w:w="108" w:type="dxa"/>
              <w:bottom w:w="0" w:type="dxa"/>
              <w:right w:w="108" w:type="dxa"/>
            </w:tcMar>
          </w:tcPr>
          <w:p w14:paraId="6E014307" w14:textId="77777777" w:rsidR="00B32004" w:rsidRDefault="00B32004">
            <w:pPr>
              <w:jc w:val="both"/>
              <w:rPr>
                <w:rFonts w:ascii="Verdana" w:hAnsi="Verdana"/>
              </w:rPr>
            </w:pPr>
          </w:p>
        </w:tc>
        <w:tc>
          <w:tcPr>
            <w:tcW w:w="3182" w:type="dxa"/>
            <w:tcBorders>
              <w:top w:val="nil"/>
              <w:left w:val="nil"/>
              <w:bottom w:val="dotted" w:sz="8" w:space="0" w:color="auto"/>
              <w:right w:val="dotted" w:sz="8" w:space="0" w:color="auto"/>
            </w:tcBorders>
            <w:tcMar>
              <w:top w:w="0" w:type="dxa"/>
              <w:left w:w="108" w:type="dxa"/>
              <w:bottom w:w="0" w:type="dxa"/>
              <w:right w:w="108" w:type="dxa"/>
            </w:tcMar>
            <w:hideMark/>
          </w:tcPr>
          <w:p w14:paraId="41756432" w14:textId="77777777" w:rsidR="00B32004" w:rsidRDefault="00B32004">
            <w:pPr>
              <w:jc w:val="both"/>
              <w:rPr>
                <w:rFonts w:ascii="Verdana" w:hAnsi="Verdana"/>
              </w:rPr>
            </w:pPr>
            <w:r>
              <w:rPr>
                <w:rFonts w:ascii="Verdana" w:hAnsi="Verdana"/>
              </w:rPr>
              <w:t xml:space="preserve">               </w:t>
            </w:r>
            <w:r>
              <w:rPr>
                <w:rFonts w:ascii="Verdana" w:hAnsi="Verdana"/>
                <w:b/>
                <w:bCs/>
              </w:rPr>
              <w:t>€   344.720,00</w:t>
            </w:r>
          </w:p>
        </w:tc>
      </w:tr>
    </w:tbl>
    <w:p w14:paraId="21CE3C0E" w14:textId="77777777" w:rsidR="00B32004" w:rsidRDefault="00B32004" w:rsidP="00B32004">
      <w:pPr>
        <w:pStyle w:val="NormaleWeb"/>
        <w:spacing w:before="0" w:beforeAutospacing="0" w:afterAutospacing="0"/>
        <w:ind w:left="1701" w:hanging="1701"/>
        <w:jc w:val="both"/>
        <w:rPr>
          <w:rFonts w:ascii="Verdana" w:hAnsi="Verdana"/>
        </w:rPr>
      </w:pPr>
      <w:r>
        <w:rPr>
          <w:rFonts w:ascii="Verdana" w:hAnsi="Verdana"/>
          <w:color w:val="FFFFFF"/>
        </w:rPr>
        <w:t xml:space="preserve">                     </w:t>
      </w:r>
    </w:p>
    <w:p w14:paraId="36BDF30D" w14:textId="77777777" w:rsidR="00B32004" w:rsidRDefault="00B32004" w:rsidP="00B32004">
      <w:pPr>
        <w:spacing w:before="100" w:beforeAutospacing="1" w:after="100" w:afterAutospacing="1" w:line="240" w:lineRule="auto"/>
        <w:ind w:left="1701" w:hanging="1985"/>
        <w:jc w:val="both"/>
        <w:rPr>
          <w:rFonts w:ascii="Verdana" w:hAnsi="Verdana"/>
        </w:rPr>
      </w:pPr>
      <w:r>
        <w:rPr>
          <w:rFonts w:ascii="Verdana" w:hAnsi="Verdana"/>
          <w:b/>
          <w:bCs/>
          <w:color w:val="000000"/>
        </w:rPr>
        <w:t xml:space="preserve">Visto                  </w:t>
      </w:r>
      <w:r>
        <w:rPr>
          <w:rFonts w:ascii="Verdana" w:hAnsi="Verdana"/>
        </w:rPr>
        <w:t>l’art. 1, commi 65 e 67, della Legge 23 dicembre 2005, n. 266, in virtù del quale l’Istituto è tenuto ad acquisire il codice identificativo della gara (CIG) che tale operazione è stata eseguita e che il CIG nella versione alfanumerica è: 8514279D4A;</w:t>
      </w:r>
    </w:p>
    <w:p w14:paraId="3021F9CA" w14:textId="07067E12" w:rsidR="00B32004" w:rsidRDefault="00B32004" w:rsidP="00B32004">
      <w:pPr>
        <w:autoSpaceDE w:val="0"/>
        <w:autoSpaceDN w:val="0"/>
        <w:spacing w:before="100" w:beforeAutospacing="1" w:after="100" w:afterAutospacing="1"/>
        <w:ind w:left="1701" w:hanging="1701"/>
        <w:jc w:val="both"/>
        <w:rPr>
          <w:rFonts w:ascii="Verdana" w:hAnsi="Verdana"/>
        </w:rPr>
      </w:pPr>
      <w:r>
        <w:rPr>
          <w:rFonts w:ascii="Verdana" w:hAnsi="Verdana"/>
          <w:b/>
          <w:bCs/>
          <w:color w:val="000000"/>
        </w:rPr>
        <w:t>                      </w:t>
      </w:r>
      <w:r w:rsidR="00E50AA0">
        <w:rPr>
          <w:rFonts w:ascii="Verdana" w:hAnsi="Verdana"/>
          <w:b/>
          <w:bCs/>
          <w:color w:val="000000"/>
        </w:rPr>
        <w:t xml:space="preserve"> </w:t>
      </w:r>
      <w:r w:rsidR="00E50AA0" w:rsidRPr="00E50AA0">
        <w:rPr>
          <w:rFonts w:ascii="Verdana" w:hAnsi="Verdana"/>
          <w:color w:val="000000"/>
        </w:rPr>
        <w:t>che si</w:t>
      </w:r>
      <w:r w:rsidR="00E50AA0">
        <w:rPr>
          <w:rFonts w:ascii="Verdana" w:hAnsi="Verdana"/>
          <w:b/>
          <w:bCs/>
          <w:color w:val="000000"/>
        </w:rPr>
        <w:t xml:space="preserve"> </w:t>
      </w:r>
      <w:r w:rsidR="00E50AA0" w:rsidRPr="00E50AA0">
        <w:rPr>
          <w:rFonts w:ascii="Verdana" w:hAnsi="Verdana"/>
          <w:color w:val="000000"/>
        </w:rPr>
        <w:t xml:space="preserve">è </w:t>
      </w:r>
      <w:r>
        <w:rPr>
          <w:rFonts w:ascii="Verdana" w:hAnsi="Verdana"/>
          <w:color w:val="000000"/>
        </w:rPr>
        <w:t xml:space="preserve">provveduto all’acquisizione del codice CUP sul portale del CIPE - Comitato Interministeriale per la Programmazione Economica presso la Presidenza del </w:t>
      </w:r>
      <w:proofErr w:type="gramStart"/>
      <w:r>
        <w:rPr>
          <w:rFonts w:ascii="Verdana" w:hAnsi="Verdana"/>
          <w:color w:val="000000"/>
        </w:rPr>
        <w:t>Consiglio dei Ministri</w:t>
      </w:r>
      <w:proofErr w:type="gramEnd"/>
      <w:r>
        <w:rPr>
          <w:rFonts w:ascii="Verdana" w:hAnsi="Verdana"/>
          <w:color w:val="000000"/>
        </w:rPr>
        <w:t xml:space="preserve"> individuato, nel codice alfanumerico: F95E20000660005; </w:t>
      </w:r>
    </w:p>
    <w:p w14:paraId="22787979" w14:textId="2B673AD1" w:rsidR="00B32004" w:rsidRPr="00364D5C" w:rsidRDefault="00B32004" w:rsidP="00B32004">
      <w:pPr>
        <w:spacing w:after="0"/>
        <w:ind w:left="1701" w:hanging="1701"/>
        <w:jc w:val="both"/>
        <w:rPr>
          <w:rFonts w:ascii="Verdana" w:hAnsi="Verdana"/>
        </w:rPr>
      </w:pPr>
      <w:r>
        <w:rPr>
          <w:rFonts w:ascii="Verdana" w:hAnsi="Verdana"/>
          <w:b/>
          <w:bCs/>
          <w:color w:val="000000"/>
        </w:rPr>
        <w:t xml:space="preserve">Richiamato </w:t>
      </w:r>
      <w:r>
        <w:rPr>
          <w:rFonts w:ascii="Verdana" w:hAnsi="Verdana"/>
          <w:color w:val="000000"/>
        </w:rPr>
        <w:t xml:space="preserve">   </w:t>
      </w:r>
      <w:r w:rsidRPr="00364D5C">
        <w:rPr>
          <w:rFonts w:ascii="Verdana" w:hAnsi="Verdana"/>
        </w:rPr>
        <w:t>il comunicato del Presidente dell’ANAC del 20 maggio 2020 riguardante l’esonero dalla contribuzione dovuta all’Autorità Nazionale Anticorruzione ai sensi dell’art. 1, comma 65, della legge 23 dicembre 2005, n. 266, per le procedure di gara avviate dal 19 maggio 2020 fino al 31 dicembre 2020;</w:t>
      </w:r>
    </w:p>
    <w:p w14:paraId="32482A5C" w14:textId="158DDB60" w:rsidR="004527AE" w:rsidRPr="004527AE" w:rsidRDefault="004527AE" w:rsidP="00B32004">
      <w:pPr>
        <w:spacing w:after="0"/>
        <w:ind w:left="1701" w:hanging="1701"/>
        <w:jc w:val="both"/>
        <w:rPr>
          <w:rFonts w:ascii="Verdana" w:hAnsi="Verdana"/>
          <w:color w:val="FF0000"/>
        </w:rPr>
      </w:pPr>
    </w:p>
    <w:p w14:paraId="7E259E14" w14:textId="042E6BEA" w:rsidR="004527AE" w:rsidRDefault="004527AE" w:rsidP="00B32004">
      <w:pPr>
        <w:spacing w:after="0"/>
        <w:ind w:left="1701" w:hanging="1701"/>
        <w:jc w:val="both"/>
        <w:rPr>
          <w:rFonts w:ascii="Verdana" w:hAnsi="Verdana"/>
          <w:color w:val="1F497D"/>
        </w:rPr>
      </w:pPr>
    </w:p>
    <w:p w14:paraId="03EEB339" w14:textId="775E428F" w:rsidR="004527AE" w:rsidRDefault="004527AE" w:rsidP="00B32004">
      <w:pPr>
        <w:spacing w:after="0"/>
        <w:ind w:left="1701" w:hanging="1701"/>
        <w:jc w:val="both"/>
        <w:rPr>
          <w:rFonts w:ascii="Verdana" w:hAnsi="Verdana"/>
          <w:color w:val="1F497D"/>
        </w:rPr>
      </w:pPr>
    </w:p>
    <w:p w14:paraId="762C5245" w14:textId="1D5D17AE" w:rsidR="004527AE" w:rsidRDefault="004527AE" w:rsidP="00B32004">
      <w:pPr>
        <w:spacing w:after="0"/>
        <w:ind w:left="1701" w:hanging="1701"/>
        <w:jc w:val="both"/>
        <w:rPr>
          <w:rFonts w:ascii="Verdana" w:hAnsi="Verdana"/>
          <w:color w:val="1F497D"/>
        </w:rPr>
      </w:pPr>
    </w:p>
    <w:p w14:paraId="574457A9" w14:textId="7B8E53F6" w:rsidR="00B32004" w:rsidRPr="00331D52" w:rsidRDefault="006B73EC" w:rsidP="00B32004">
      <w:pPr>
        <w:spacing w:line="240" w:lineRule="auto"/>
        <w:ind w:left="1701" w:hanging="1701"/>
        <w:jc w:val="both"/>
        <w:rPr>
          <w:rFonts w:ascii="Verdana" w:hAnsi="Verdana"/>
        </w:rPr>
      </w:pPr>
      <w:r>
        <w:rPr>
          <w:rFonts w:ascii="Verdana" w:hAnsi="Verdana"/>
          <w:b/>
          <w:bCs/>
        </w:rPr>
        <w:t>V</w:t>
      </w:r>
      <w:r w:rsidR="00B32004" w:rsidRPr="00331D52">
        <w:rPr>
          <w:rFonts w:ascii="Verdana" w:hAnsi="Verdana"/>
          <w:b/>
          <w:bCs/>
        </w:rPr>
        <w:t>isti</w:t>
      </w:r>
      <w:r w:rsidR="00B32004" w:rsidRPr="00331D52">
        <w:rPr>
          <w:rFonts w:ascii="Verdana" w:hAnsi="Verdana"/>
        </w:rPr>
        <w:t xml:space="preserve">            </w:t>
      </w:r>
      <w:r w:rsidR="0005187D">
        <w:rPr>
          <w:rFonts w:ascii="Verdana" w:hAnsi="Verdana"/>
        </w:rPr>
        <w:t xml:space="preserve"> </w:t>
      </w:r>
      <w:r w:rsidR="0050322D">
        <w:rPr>
          <w:rFonts w:ascii="Verdana" w:hAnsi="Verdana"/>
        </w:rPr>
        <w:t xml:space="preserve"> </w:t>
      </w:r>
      <w:r w:rsidR="00B32004" w:rsidRPr="00331D52">
        <w:rPr>
          <w:rFonts w:ascii="Verdana" w:hAnsi="Verdana"/>
        </w:rPr>
        <w:t xml:space="preserve">gli schemi della documentazione che costituiscono la </w:t>
      </w:r>
      <w:proofErr w:type="spellStart"/>
      <w:r w:rsidR="00B32004" w:rsidRPr="00331D52">
        <w:rPr>
          <w:rFonts w:ascii="Verdana" w:hAnsi="Verdana"/>
          <w:i/>
          <w:iCs/>
        </w:rPr>
        <w:t>lex</w:t>
      </w:r>
      <w:proofErr w:type="spellEnd"/>
      <w:r w:rsidR="00B32004" w:rsidRPr="00331D52">
        <w:rPr>
          <w:rFonts w:ascii="Verdana" w:hAnsi="Verdana"/>
          <w:i/>
          <w:iCs/>
        </w:rPr>
        <w:t xml:space="preserve"> </w:t>
      </w:r>
      <w:proofErr w:type="spellStart"/>
      <w:r w:rsidR="00B32004" w:rsidRPr="00331D52">
        <w:rPr>
          <w:rFonts w:ascii="Verdana" w:hAnsi="Verdana"/>
          <w:i/>
          <w:iCs/>
        </w:rPr>
        <w:t>specialis</w:t>
      </w:r>
      <w:proofErr w:type="spellEnd"/>
      <w:r w:rsidR="00B32004" w:rsidRPr="00331D52">
        <w:rPr>
          <w:rFonts w:ascii="Verdana" w:hAnsi="Verdana"/>
          <w:i/>
          <w:iCs/>
        </w:rPr>
        <w:t xml:space="preserve"> </w:t>
      </w:r>
      <w:r w:rsidR="00B32004" w:rsidRPr="00331D52">
        <w:rPr>
          <w:rFonts w:ascii="Verdana" w:hAnsi="Verdana"/>
        </w:rPr>
        <w:t>depositati in forma cartacea nei competenti uffici dell’Istituto, ivi compresi gli elaborati tecnici e grafici;</w:t>
      </w:r>
    </w:p>
    <w:p w14:paraId="73E3D053" w14:textId="3D934910" w:rsidR="00B32004" w:rsidRDefault="00B32004" w:rsidP="00B32004">
      <w:pPr>
        <w:pStyle w:val="NormaleWeb"/>
        <w:ind w:left="1701" w:hanging="1701"/>
        <w:contextualSpacing/>
        <w:jc w:val="both"/>
        <w:rPr>
          <w:rFonts w:ascii="Verdana" w:hAnsi="Verdana"/>
        </w:rPr>
      </w:pPr>
      <w:r w:rsidRPr="00331D52">
        <w:rPr>
          <w:rFonts w:ascii="Verdana" w:hAnsi="Verdana"/>
          <w:b/>
          <w:bCs/>
        </w:rPr>
        <w:t xml:space="preserve">Visto              </w:t>
      </w:r>
      <w:r w:rsidRPr="00331D52">
        <w:rPr>
          <w:rFonts w:ascii="Verdana" w:hAnsi="Verdana"/>
        </w:rPr>
        <w:t xml:space="preserve">il decreto Legislativo 18 aprile 2016, n 50, e </w:t>
      </w:r>
      <w:proofErr w:type="spellStart"/>
      <w:r w:rsidRPr="00331D52">
        <w:rPr>
          <w:rFonts w:ascii="Verdana" w:hAnsi="Verdana"/>
        </w:rPr>
        <w:t>ss.mm.ii</w:t>
      </w:r>
      <w:proofErr w:type="spellEnd"/>
      <w:r w:rsidRPr="00331D52">
        <w:rPr>
          <w:rFonts w:ascii="Verdana" w:hAnsi="Verdana"/>
        </w:rPr>
        <w:t>., recante l’</w:t>
      </w:r>
      <w:r>
        <w:rPr>
          <w:rFonts w:ascii="Verdana" w:hAnsi="Verdana"/>
        </w:rPr>
        <w:t xml:space="preserv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pubblicato sulla Gazzetta Ufficiale della Repubblica Italiana n. 91, Supplemento ordinario n. 10/L, in data 19 aprile 2016;  </w:t>
      </w:r>
    </w:p>
    <w:p w14:paraId="5666C3FA" w14:textId="77777777" w:rsidR="00AF7839" w:rsidRDefault="00AF7839" w:rsidP="00B32004">
      <w:pPr>
        <w:pStyle w:val="NormaleWeb"/>
        <w:ind w:left="1701" w:hanging="1701"/>
        <w:contextualSpacing/>
        <w:jc w:val="both"/>
        <w:rPr>
          <w:rFonts w:ascii="Verdana" w:hAnsi="Verdana"/>
        </w:rPr>
      </w:pPr>
    </w:p>
    <w:p w14:paraId="05BC0082" w14:textId="77777777" w:rsidR="00B32004" w:rsidRDefault="00B32004" w:rsidP="00B32004">
      <w:pPr>
        <w:pStyle w:val="NormaleWeb"/>
        <w:ind w:left="1701" w:hanging="1701"/>
        <w:contextualSpacing/>
        <w:jc w:val="both"/>
        <w:rPr>
          <w:rFonts w:ascii="Verdana" w:hAnsi="Verdana"/>
          <w:b/>
          <w:bCs/>
        </w:rPr>
      </w:pPr>
      <w:r>
        <w:rPr>
          <w:rFonts w:ascii="Verdana" w:hAnsi="Verdana"/>
          <w:b/>
          <w:bCs/>
        </w:rPr>
        <w:t>Richiamate    </w:t>
      </w:r>
      <w:r>
        <w:rPr>
          <w:rFonts w:ascii="Verdana" w:hAnsi="Verdana"/>
        </w:rPr>
        <w:t>le norme derogatorie al Codice dei contratti temporaneamente introdotte D.L. 19/05/2020, n. 34 “decreto rilancio” convertito con modificazioni con la Legge   L. 17/07/2020, n. 77 e ss.mm. e ii. e dal D.L. 16/07/2020, n. 76 “decreto semplificazioni” convertito con modificazioni con la Legge11/09/2020, n. 120 e ss.mm. e ii.;</w:t>
      </w:r>
    </w:p>
    <w:p w14:paraId="186C348D" w14:textId="02A5B227" w:rsidR="00B32004" w:rsidRDefault="00B32004" w:rsidP="00B32004">
      <w:pPr>
        <w:spacing w:before="60" w:afterLines="60" w:after="144" w:line="360" w:lineRule="auto"/>
        <w:ind w:left="1701" w:hanging="1701"/>
        <w:contextualSpacing/>
        <w:jc w:val="both"/>
        <w:rPr>
          <w:rFonts w:ascii="Verdana" w:hAnsi="Verdana"/>
        </w:rPr>
      </w:pPr>
      <w:bookmarkStart w:id="5" w:name="_Hlk524012648"/>
      <w:bookmarkEnd w:id="5"/>
      <w:r>
        <w:rPr>
          <w:rFonts w:ascii="Verdana" w:hAnsi="Verdana"/>
          <w:b/>
          <w:bCs/>
        </w:rPr>
        <w:t xml:space="preserve">Considerato </w:t>
      </w:r>
      <w:r w:rsidR="00884914">
        <w:rPr>
          <w:rFonts w:ascii="Verdana" w:hAnsi="Verdana"/>
          <w:b/>
          <w:bCs/>
        </w:rPr>
        <w:t xml:space="preserve"> </w:t>
      </w:r>
      <w:r w:rsidR="00D20C06">
        <w:rPr>
          <w:rFonts w:ascii="Verdana" w:hAnsi="Verdana"/>
          <w:b/>
          <w:bCs/>
        </w:rPr>
        <w:t xml:space="preserve"> </w:t>
      </w:r>
      <w:r>
        <w:rPr>
          <w:rFonts w:ascii="Verdana" w:hAnsi="Verdana"/>
        </w:rPr>
        <w:t>che l’appalto risulta finanziato con fondi del Bilancio di previsione dell’INPS 2020;</w:t>
      </w:r>
    </w:p>
    <w:p w14:paraId="0A28B6FB" w14:textId="77777777" w:rsidR="00B32004" w:rsidRDefault="00B32004" w:rsidP="006B73EC">
      <w:pPr>
        <w:spacing w:before="60" w:afterLines="60" w:after="144" w:line="360" w:lineRule="auto"/>
        <w:ind w:left="1701" w:hanging="1701"/>
        <w:contextualSpacing/>
        <w:jc w:val="both"/>
        <w:rPr>
          <w:rFonts w:ascii="Verdana" w:hAnsi="Verdana"/>
        </w:rPr>
      </w:pPr>
    </w:p>
    <w:p w14:paraId="57005FAC" w14:textId="21A8E514" w:rsidR="00B32004" w:rsidRDefault="00B32004" w:rsidP="006B73EC">
      <w:pPr>
        <w:spacing w:before="60" w:afterLines="60" w:after="144" w:line="360" w:lineRule="auto"/>
        <w:ind w:left="1701" w:hanging="1701"/>
        <w:contextualSpacing/>
        <w:jc w:val="both"/>
        <w:rPr>
          <w:rFonts w:ascii="Verdana" w:hAnsi="Verdana"/>
        </w:rPr>
      </w:pPr>
      <w:r>
        <w:rPr>
          <w:rFonts w:ascii="Verdana" w:hAnsi="Verdana"/>
          <w:b/>
          <w:bCs/>
        </w:rPr>
        <w:t>Verificata      </w:t>
      </w:r>
      <w:r>
        <w:rPr>
          <w:rFonts w:ascii="Verdana" w:hAnsi="Verdana"/>
        </w:rPr>
        <w:t>la copertura finanziaria mediante VISTO 8580-2020-</w:t>
      </w:r>
      <w:r w:rsidR="00884914">
        <w:rPr>
          <w:rFonts w:ascii="Verdana" w:hAnsi="Verdana"/>
        </w:rPr>
        <w:t>V0094</w:t>
      </w:r>
      <w:r>
        <w:rPr>
          <w:rFonts w:ascii="Verdana" w:hAnsi="Verdana"/>
        </w:rPr>
        <w:t> </w:t>
      </w:r>
      <w:r w:rsidR="00884914">
        <w:rPr>
          <w:rFonts w:ascii="Verdana" w:hAnsi="Verdana"/>
        </w:rPr>
        <w:t>d</w:t>
      </w:r>
      <w:r>
        <w:rPr>
          <w:rFonts w:ascii="Verdana" w:hAnsi="Verdana"/>
        </w:rPr>
        <w:t xml:space="preserve">el </w:t>
      </w:r>
      <w:proofErr w:type="gramStart"/>
      <w:r w:rsidR="00884914">
        <w:rPr>
          <w:rFonts w:ascii="Verdana" w:hAnsi="Verdana"/>
        </w:rPr>
        <w:t>17.11.2020</w:t>
      </w:r>
      <w:r>
        <w:rPr>
          <w:rFonts w:ascii="Verdana" w:hAnsi="Verdana"/>
        </w:rPr>
        <w:t xml:space="preserve">  </w:t>
      </w:r>
      <w:r w:rsidR="009F35F4">
        <w:rPr>
          <w:rFonts w:ascii="Verdana" w:hAnsi="Verdana"/>
        </w:rPr>
        <w:t>i</w:t>
      </w:r>
      <w:r>
        <w:rPr>
          <w:rFonts w:ascii="Verdana" w:hAnsi="Verdana"/>
        </w:rPr>
        <w:t>n</w:t>
      </w:r>
      <w:proofErr w:type="gramEnd"/>
      <w:r>
        <w:rPr>
          <w:rFonts w:ascii="Verdana" w:hAnsi="Verdana"/>
        </w:rPr>
        <w:t xml:space="preserve"> relazione alla spesa pari a € </w:t>
      </w:r>
      <w:r w:rsidR="00E77B8F">
        <w:rPr>
          <w:rFonts w:ascii="Verdana" w:hAnsi="Verdana"/>
        </w:rPr>
        <w:t>339.160,00</w:t>
      </w:r>
      <w:r>
        <w:rPr>
          <w:rFonts w:ascii="Verdana" w:hAnsi="Verdana"/>
        </w:rPr>
        <w:t xml:space="preserve">;  </w:t>
      </w:r>
    </w:p>
    <w:p w14:paraId="446334EE" w14:textId="77777777" w:rsidR="00B32004" w:rsidRDefault="00B32004" w:rsidP="006B73EC">
      <w:pPr>
        <w:spacing w:before="60" w:afterLines="60" w:after="144" w:line="360" w:lineRule="auto"/>
        <w:ind w:left="1701" w:hanging="1701"/>
        <w:contextualSpacing/>
        <w:rPr>
          <w:rFonts w:ascii="Verdana" w:hAnsi="Verdana"/>
          <w:b/>
          <w:bCs/>
        </w:rPr>
      </w:pPr>
    </w:p>
    <w:p w14:paraId="2CF27A6F" w14:textId="505D9CB0" w:rsidR="00B32004" w:rsidRDefault="00B32004" w:rsidP="00B32004">
      <w:pPr>
        <w:spacing w:before="60" w:afterLines="60" w:after="144" w:line="360" w:lineRule="auto"/>
        <w:ind w:left="1701" w:hanging="1701"/>
        <w:contextualSpacing/>
        <w:jc w:val="both"/>
        <w:rPr>
          <w:rFonts w:ascii="Verdana" w:hAnsi="Verdana"/>
        </w:rPr>
      </w:pPr>
      <w:r>
        <w:rPr>
          <w:rFonts w:ascii="Verdana" w:hAnsi="Verdana"/>
          <w:b/>
          <w:bCs/>
        </w:rPr>
        <w:t>Verificata      </w:t>
      </w:r>
      <w:r>
        <w:rPr>
          <w:rFonts w:ascii="Verdana" w:hAnsi="Verdana"/>
        </w:rPr>
        <w:t>la copertura finanziaria mediante VISTO 8580-2020-</w:t>
      </w:r>
      <w:r w:rsidR="009F35F4">
        <w:rPr>
          <w:rFonts w:ascii="Verdana" w:hAnsi="Verdana"/>
        </w:rPr>
        <w:t xml:space="preserve">V0095 </w:t>
      </w:r>
      <w:proofErr w:type="gramStart"/>
      <w:r>
        <w:rPr>
          <w:rFonts w:ascii="Verdana" w:hAnsi="Verdana"/>
        </w:rPr>
        <w:t xml:space="preserve">del </w:t>
      </w:r>
      <w:r w:rsidR="009F35F4">
        <w:rPr>
          <w:rFonts w:ascii="Verdana" w:hAnsi="Verdana"/>
        </w:rPr>
        <w:t xml:space="preserve"> 17.11.2020</w:t>
      </w:r>
      <w:proofErr w:type="gramEnd"/>
      <w:r w:rsidR="009F35F4">
        <w:rPr>
          <w:rFonts w:ascii="Verdana" w:hAnsi="Verdana"/>
        </w:rPr>
        <w:t xml:space="preserve"> </w:t>
      </w:r>
      <w:r>
        <w:rPr>
          <w:rFonts w:ascii="Verdana" w:hAnsi="Verdana"/>
        </w:rPr>
        <w:t xml:space="preserve">in relazione alla spesa pari a € </w:t>
      </w:r>
      <w:r w:rsidR="00C75811">
        <w:rPr>
          <w:rFonts w:ascii="Verdana" w:hAnsi="Verdana"/>
        </w:rPr>
        <w:t>5.560,00</w:t>
      </w:r>
      <w:r w:rsidR="00331D52">
        <w:rPr>
          <w:rFonts w:ascii="Verdana" w:hAnsi="Verdana"/>
        </w:rPr>
        <w:t>;</w:t>
      </w:r>
    </w:p>
    <w:p w14:paraId="6D4FC458" w14:textId="77777777" w:rsidR="00B32004" w:rsidRDefault="00B32004" w:rsidP="00B32004">
      <w:pPr>
        <w:spacing w:before="60" w:afterLines="60" w:after="144" w:line="360" w:lineRule="auto"/>
        <w:ind w:left="1701" w:hanging="1701"/>
        <w:contextualSpacing/>
        <w:jc w:val="both"/>
        <w:rPr>
          <w:rFonts w:ascii="Verdana" w:hAnsi="Verdana"/>
          <w:b/>
          <w:bCs/>
        </w:rPr>
      </w:pPr>
    </w:p>
    <w:p w14:paraId="282C63E0" w14:textId="77777777" w:rsidR="00B32004" w:rsidRDefault="00B32004" w:rsidP="00B32004">
      <w:pPr>
        <w:spacing w:before="60" w:afterLines="60" w:after="144" w:line="360" w:lineRule="auto"/>
        <w:ind w:left="1701" w:hanging="1701"/>
        <w:contextualSpacing/>
        <w:jc w:val="both"/>
        <w:rPr>
          <w:rFonts w:ascii="Verdana" w:hAnsi="Verdana"/>
        </w:rPr>
      </w:pPr>
      <w:r>
        <w:rPr>
          <w:rFonts w:ascii="Verdana" w:hAnsi="Verdana"/>
          <w:b/>
          <w:bCs/>
        </w:rPr>
        <w:t xml:space="preserve">Considerato   </w:t>
      </w:r>
      <w:r>
        <w:rPr>
          <w:rFonts w:ascii="Verdana" w:hAnsi="Verdana"/>
        </w:rPr>
        <w:t xml:space="preserve">che la spesa complessiva pari a € </w:t>
      </w:r>
      <w:r w:rsidRPr="00331D52">
        <w:rPr>
          <w:rFonts w:ascii="Verdana" w:hAnsi="Verdana"/>
        </w:rPr>
        <w:t>344.720,00</w:t>
      </w:r>
      <w:r>
        <w:rPr>
          <w:rFonts w:ascii="Verdana" w:hAnsi="Verdana"/>
        </w:rPr>
        <w:t xml:space="preserve"> sarà imputata e autorizzata al capitolo </w:t>
      </w:r>
      <w:r w:rsidRPr="00F064B3">
        <w:rPr>
          <w:rFonts w:ascii="Verdana" w:hAnsi="Verdana"/>
        </w:rPr>
        <w:t xml:space="preserve">5U211201007 </w:t>
      </w:r>
      <w:r>
        <w:rPr>
          <w:rFonts w:ascii="Verdana" w:hAnsi="Verdana"/>
        </w:rPr>
        <w:t>del bilancio INPS 2020;</w:t>
      </w:r>
    </w:p>
    <w:p w14:paraId="2FFB3260" w14:textId="77777777" w:rsidR="00A94970" w:rsidRDefault="00A94970" w:rsidP="00A94970">
      <w:pPr>
        <w:spacing w:after="100" w:afterAutospacing="1" w:line="240" w:lineRule="auto"/>
        <w:ind w:left="1701"/>
        <w:contextualSpacing/>
        <w:jc w:val="both"/>
        <w:rPr>
          <w:rFonts w:ascii="Verdana" w:hAnsi="Verdana"/>
        </w:rPr>
      </w:pPr>
      <w:r>
        <w:rPr>
          <w:rFonts w:ascii="Verdana" w:hAnsi="Verdana"/>
        </w:rPr>
        <w:t xml:space="preserve">che le spese in argomento, ciascuna munita di un proprio  VISTO di contabilità, saranno prenotate al predetto capitolo del bilancio 2020 per essere successivamente impegnate al momento opportuno secondo le norme di contabilità pubblica, l’una spesa a favore del soggetto che risulterà aggiudicatario dell’appalto e l’altra, relativamente all’accantonamento del 2% ex art. 113 del Codice dei contratti pubblici, a favore dell’INPS -beneficiario convenzionale- in attesa che l’Istituto approvi il nuovo regolamento per disciplinare il riparto degli incentivi per le funzioni tecniche svolte dal Gruppo di Lavoro; </w:t>
      </w:r>
    </w:p>
    <w:p w14:paraId="52C86404" w14:textId="77777777" w:rsidR="00A94970" w:rsidRDefault="00A94970" w:rsidP="00A94970">
      <w:pPr>
        <w:spacing w:before="100" w:beforeAutospacing="1" w:after="0" w:line="240" w:lineRule="exact"/>
        <w:contextualSpacing/>
        <w:rPr>
          <w:rFonts w:ascii="Verdana" w:hAnsi="Verdana"/>
        </w:rPr>
      </w:pPr>
    </w:p>
    <w:p w14:paraId="7CA4697D" w14:textId="1EDDF305" w:rsidR="00A94970" w:rsidRDefault="00A94970" w:rsidP="00A94970">
      <w:pPr>
        <w:spacing w:before="100" w:beforeAutospacing="1" w:after="0" w:line="240" w:lineRule="exact"/>
        <w:contextualSpacing/>
        <w:rPr>
          <w:rFonts w:ascii="Verdana" w:hAnsi="Verdana"/>
        </w:rPr>
      </w:pPr>
      <w:r>
        <w:rPr>
          <w:rFonts w:ascii="Verdana" w:hAnsi="Verdana"/>
          <w:b/>
          <w:bCs/>
        </w:rPr>
        <w:t xml:space="preserve">Esaminata     </w:t>
      </w:r>
      <w:r>
        <w:rPr>
          <w:rFonts w:ascii="Verdana" w:hAnsi="Verdana"/>
        </w:rPr>
        <w:t xml:space="preserve">la proposta del RUP </w:t>
      </w:r>
      <w:r w:rsidR="00542C37">
        <w:rPr>
          <w:rFonts w:ascii="Verdana" w:hAnsi="Verdana"/>
        </w:rPr>
        <w:t xml:space="preserve">e </w:t>
      </w:r>
      <w:r>
        <w:rPr>
          <w:rFonts w:ascii="Verdana" w:hAnsi="Verdana"/>
        </w:rPr>
        <w:t>ritenuta accoglibile;</w:t>
      </w:r>
    </w:p>
    <w:p w14:paraId="38EDD180" w14:textId="168AE84E" w:rsidR="00672B11" w:rsidRDefault="00672B11" w:rsidP="00A94970">
      <w:pPr>
        <w:spacing w:before="100" w:beforeAutospacing="1" w:after="0" w:line="240" w:lineRule="exact"/>
        <w:contextualSpacing/>
        <w:rPr>
          <w:rFonts w:ascii="Verdana" w:hAnsi="Verdana"/>
        </w:rPr>
      </w:pPr>
    </w:p>
    <w:p w14:paraId="69FEB2C7" w14:textId="613C38A1" w:rsidR="00672B11" w:rsidRDefault="00672B11" w:rsidP="00A94970">
      <w:pPr>
        <w:spacing w:before="100" w:beforeAutospacing="1" w:after="0" w:line="240" w:lineRule="exact"/>
        <w:contextualSpacing/>
        <w:rPr>
          <w:rFonts w:ascii="Verdana" w:hAnsi="Verdana"/>
        </w:rPr>
      </w:pPr>
      <w:r w:rsidRPr="00672B11">
        <w:rPr>
          <w:rFonts w:ascii="Verdana" w:hAnsi="Verdana"/>
          <w:b/>
          <w:bCs/>
        </w:rPr>
        <w:t>Ritenuta</w:t>
      </w:r>
      <w:r>
        <w:rPr>
          <w:rFonts w:ascii="Verdana" w:hAnsi="Verdana"/>
        </w:rPr>
        <w:t xml:space="preserve"> </w:t>
      </w:r>
      <w:r>
        <w:rPr>
          <w:rFonts w:ascii="Verdana" w:hAnsi="Verdana"/>
        </w:rPr>
        <w:tab/>
        <w:t xml:space="preserve"> </w:t>
      </w:r>
      <w:r w:rsidR="003508B9">
        <w:rPr>
          <w:rFonts w:ascii="Verdana" w:hAnsi="Verdana"/>
        </w:rPr>
        <w:t xml:space="preserve"> </w:t>
      </w:r>
      <w:r>
        <w:rPr>
          <w:rFonts w:ascii="Verdana" w:hAnsi="Verdana"/>
        </w:rPr>
        <w:t xml:space="preserve"> la propria competenza nel merito;</w:t>
      </w:r>
    </w:p>
    <w:p w14:paraId="4A6FEDF3" w14:textId="77777777" w:rsidR="00A94970" w:rsidRDefault="00A94970" w:rsidP="00A94970">
      <w:pPr>
        <w:spacing w:before="100" w:beforeAutospacing="1" w:after="0" w:line="240" w:lineRule="exact"/>
        <w:contextualSpacing/>
        <w:rPr>
          <w:rFonts w:ascii="Verdana" w:hAnsi="Verdana"/>
        </w:rPr>
      </w:pPr>
    </w:p>
    <w:p w14:paraId="01414667" w14:textId="77777777" w:rsidR="003A0B32" w:rsidRDefault="003A0B32" w:rsidP="00A94970">
      <w:pPr>
        <w:spacing w:before="100" w:beforeAutospacing="1" w:after="0" w:line="240" w:lineRule="exact"/>
        <w:contextualSpacing/>
        <w:jc w:val="center"/>
        <w:rPr>
          <w:rFonts w:ascii="Verdana" w:hAnsi="Verdana"/>
          <w:b/>
          <w:bCs/>
        </w:rPr>
      </w:pPr>
    </w:p>
    <w:p w14:paraId="430861C3" w14:textId="21E24A18" w:rsidR="00A94970" w:rsidRDefault="00A94970" w:rsidP="00A94970">
      <w:pPr>
        <w:spacing w:before="100" w:beforeAutospacing="1" w:after="0" w:line="240" w:lineRule="exact"/>
        <w:contextualSpacing/>
        <w:jc w:val="center"/>
        <w:rPr>
          <w:rFonts w:ascii="Verdana" w:hAnsi="Verdana"/>
          <w:b/>
          <w:bCs/>
        </w:rPr>
      </w:pPr>
      <w:r>
        <w:rPr>
          <w:rFonts w:ascii="Verdana" w:hAnsi="Verdana"/>
          <w:b/>
          <w:bCs/>
        </w:rPr>
        <w:t>DETERMINA</w:t>
      </w:r>
    </w:p>
    <w:p w14:paraId="289EB372" w14:textId="66A83CA6" w:rsidR="0068388C" w:rsidRDefault="009F35F4" w:rsidP="009C0E32">
      <w:pPr>
        <w:pStyle w:val="Paragrafoelenco"/>
        <w:spacing w:before="100" w:beforeAutospacing="1" w:after="0" w:line="240" w:lineRule="auto"/>
        <w:ind w:left="0"/>
        <w:jc w:val="both"/>
        <w:rPr>
          <w:rFonts w:ascii="Verdana" w:hAnsi="Verdana"/>
        </w:rPr>
      </w:pPr>
      <w:r>
        <w:rPr>
          <w:rFonts w:ascii="Verdana" w:hAnsi="Verdana"/>
        </w:rPr>
        <w:lastRenderedPageBreak/>
        <w:t>p</w:t>
      </w:r>
      <w:r w:rsidR="00B32004">
        <w:rPr>
          <w:rFonts w:ascii="Verdana" w:hAnsi="Verdana"/>
        </w:rPr>
        <w:t>er le motivazioni sopra richiamate,</w:t>
      </w:r>
    </w:p>
    <w:p w14:paraId="7DE38EE1" w14:textId="77777777" w:rsidR="0068388C" w:rsidRDefault="0068388C" w:rsidP="009C0E32">
      <w:pPr>
        <w:pStyle w:val="Paragrafoelenco"/>
        <w:spacing w:before="100" w:beforeAutospacing="1" w:after="0" w:line="240" w:lineRule="auto"/>
        <w:ind w:left="0"/>
        <w:jc w:val="both"/>
        <w:rPr>
          <w:rFonts w:ascii="Verdana" w:hAnsi="Verdana"/>
        </w:rPr>
      </w:pPr>
    </w:p>
    <w:p w14:paraId="1A796E7E" w14:textId="62378A02" w:rsidR="00DE73AA" w:rsidRDefault="00DE73AA" w:rsidP="009C0E32">
      <w:pPr>
        <w:pStyle w:val="Paragrafoelenco"/>
        <w:numPr>
          <w:ilvl w:val="0"/>
          <w:numId w:val="4"/>
        </w:numPr>
        <w:spacing w:before="100" w:beforeAutospacing="1" w:after="0" w:line="240" w:lineRule="auto"/>
        <w:ind w:left="426" w:hanging="284"/>
        <w:jc w:val="both"/>
        <w:rPr>
          <w:rFonts w:ascii="Verdana" w:eastAsia="Times New Roman" w:hAnsi="Verdana"/>
        </w:rPr>
      </w:pPr>
      <w:r>
        <w:rPr>
          <w:rFonts w:ascii="Verdana" w:eastAsia="Times New Roman" w:hAnsi="Verdana"/>
        </w:rPr>
        <w:t xml:space="preserve">di nominare l’Arch. Dario Luciani quale Responsabile unico del procedimento – RUP- ex art. 31 del D.lgs. 50/2016 </w:t>
      </w:r>
      <w:proofErr w:type="spellStart"/>
      <w:r>
        <w:rPr>
          <w:rFonts w:ascii="Verdana" w:eastAsia="Times New Roman" w:hAnsi="Verdana"/>
        </w:rPr>
        <w:t>ss.mm.ii</w:t>
      </w:r>
      <w:proofErr w:type="spellEnd"/>
      <w:r>
        <w:rPr>
          <w:rFonts w:ascii="Verdana" w:eastAsia="Times New Roman" w:hAnsi="Verdana"/>
        </w:rPr>
        <w:t xml:space="preserve">. per la procedura negoziata sul </w:t>
      </w:r>
      <w:proofErr w:type="spellStart"/>
      <w:r>
        <w:rPr>
          <w:rFonts w:ascii="Verdana" w:eastAsia="Times New Roman" w:hAnsi="Verdana"/>
        </w:rPr>
        <w:t>Mepa</w:t>
      </w:r>
      <w:proofErr w:type="spellEnd"/>
      <w:r>
        <w:rPr>
          <w:rFonts w:ascii="Verdana" w:eastAsia="Times New Roman" w:hAnsi="Verdana"/>
        </w:rPr>
        <w:t xml:space="preserve"> di cui al </w:t>
      </w:r>
      <w:r w:rsidRPr="00033F9A">
        <w:rPr>
          <w:rFonts w:ascii="Verdana" w:eastAsia="Times New Roman" w:hAnsi="Verdana"/>
        </w:rPr>
        <w:t>CIG 8514279D4A conferendogli</w:t>
      </w:r>
      <w:r>
        <w:rPr>
          <w:rFonts w:ascii="Verdana" w:eastAsia="Times New Roman" w:hAnsi="Verdana"/>
        </w:rPr>
        <w:t xml:space="preserve"> contestualmente mandato acciocché </w:t>
      </w:r>
      <w:proofErr w:type="gramStart"/>
      <w:r>
        <w:rPr>
          <w:rFonts w:ascii="Verdana" w:eastAsia="Times New Roman" w:hAnsi="Verdana"/>
        </w:rPr>
        <w:t>ponga in essere</w:t>
      </w:r>
      <w:proofErr w:type="gramEnd"/>
      <w:r>
        <w:rPr>
          <w:rFonts w:ascii="Verdana" w:eastAsia="Times New Roman" w:hAnsi="Verdana"/>
        </w:rPr>
        <w:t xml:space="preserve"> tutti gli adempimenti nomativi e amministrativi che contraddistinguono tale ruolo, in modo che sia garantito il regolare andamento dell’intera azione amministrativa fino alla conclusione del procedimento in essere, in applicazione altresì della legge 241/1990 </w:t>
      </w:r>
      <w:proofErr w:type="spellStart"/>
      <w:r>
        <w:rPr>
          <w:rFonts w:ascii="Verdana" w:eastAsia="Times New Roman" w:hAnsi="Verdana"/>
        </w:rPr>
        <w:t>ss.mm.ii</w:t>
      </w:r>
      <w:proofErr w:type="spellEnd"/>
      <w:r>
        <w:rPr>
          <w:rFonts w:ascii="Verdana" w:eastAsia="Times New Roman" w:hAnsi="Verdana"/>
        </w:rPr>
        <w:t>. e delle Linee Guida n. 3/2017 dell’A.N.AC. approvate in attuazione del d.lgs.50/2016;</w:t>
      </w:r>
    </w:p>
    <w:p w14:paraId="07B64E90" w14:textId="77777777" w:rsidR="009C0E32" w:rsidRDefault="009C0E32" w:rsidP="009C0E32">
      <w:pPr>
        <w:pStyle w:val="Paragrafoelenco"/>
        <w:spacing w:before="100" w:beforeAutospacing="1" w:after="0" w:line="240" w:lineRule="auto"/>
        <w:ind w:left="426"/>
        <w:jc w:val="both"/>
        <w:rPr>
          <w:rFonts w:ascii="Verdana" w:eastAsia="Times New Roman" w:hAnsi="Verdana"/>
        </w:rPr>
      </w:pPr>
    </w:p>
    <w:p w14:paraId="2E01AD96" w14:textId="77F0AA00" w:rsidR="00E87927" w:rsidRDefault="00DE73AA" w:rsidP="009C0E32">
      <w:pPr>
        <w:pStyle w:val="Paragrafoelenco"/>
        <w:numPr>
          <w:ilvl w:val="0"/>
          <w:numId w:val="4"/>
        </w:numPr>
        <w:spacing w:before="100" w:beforeAutospacing="1" w:after="0" w:line="240" w:lineRule="auto"/>
        <w:ind w:left="426" w:hanging="284"/>
        <w:jc w:val="both"/>
        <w:rPr>
          <w:rFonts w:ascii="Verdana" w:hAnsi="Verdana"/>
        </w:rPr>
      </w:pPr>
      <w:r w:rsidRPr="003C2F89">
        <w:rPr>
          <w:rFonts w:ascii="Verdana" w:hAnsi="Verdana"/>
        </w:rPr>
        <w:t>di accogliere la proposta del RUP;</w:t>
      </w:r>
    </w:p>
    <w:p w14:paraId="66B6AAF9" w14:textId="77777777" w:rsidR="009C0E32" w:rsidRPr="003C2F89" w:rsidRDefault="009C0E32" w:rsidP="009C0E32">
      <w:pPr>
        <w:pStyle w:val="Paragrafoelenco"/>
        <w:spacing w:before="100" w:beforeAutospacing="1" w:after="0" w:line="240" w:lineRule="auto"/>
        <w:ind w:left="426"/>
        <w:jc w:val="both"/>
        <w:rPr>
          <w:rFonts w:ascii="Verdana" w:hAnsi="Verdana"/>
        </w:rPr>
      </w:pPr>
    </w:p>
    <w:p w14:paraId="4956E559" w14:textId="08C9FEBB" w:rsidR="00B32004" w:rsidRDefault="00B32004" w:rsidP="009C0E32">
      <w:pPr>
        <w:pStyle w:val="Paragrafoelenco"/>
        <w:numPr>
          <w:ilvl w:val="0"/>
          <w:numId w:val="1"/>
        </w:numPr>
        <w:autoSpaceDE w:val="0"/>
        <w:autoSpaceDN w:val="0"/>
        <w:spacing w:after="0" w:line="240" w:lineRule="auto"/>
        <w:ind w:left="426" w:hanging="284"/>
        <w:jc w:val="both"/>
        <w:rPr>
          <w:rFonts w:ascii="Verdana" w:hAnsi="Verdana"/>
        </w:rPr>
      </w:pPr>
      <w:r>
        <w:rPr>
          <w:rFonts w:ascii="Verdana" w:hAnsi="Verdana"/>
        </w:rPr>
        <w:t xml:space="preserve">di autorizzare la procedura negoziata ex art. 1 -comma 2- lett. b) del D.L. n. 76/2020 </w:t>
      </w:r>
      <w:r w:rsidR="009F35F4">
        <w:rPr>
          <w:rFonts w:ascii="Verdana" w:hAnsi="Verdana"/>
        </w:rPr>
        <w:t xml:space="preserve"> </w:t>
      </w:r>
      <w:r>
        <w:rPr>
          <w:rFonts w:ascii="Verdana" w:hAnsi="Verdana"/>
        </w:rPr>
        <w:t xml:space="preserve">convertito con Legge n. 120/2020 per la stipula di un Accordo Quadro ex art. 54 comma 3 del Codice dei Contratti Pubblici, procedura da esperire sulla piattaforma </w:t>
      </w:r>
      <w:proofErr w:type="spellStart"/>
      <w:r>
        <w:rPr>
          <w:rFonts w:ascii="Verdana" w:hAnsi="Verdana"/>
        </w:rPr>
        <w:t>MePA</w:t>
      </w:r>
      <w:proofErr w:type="spellEnd"/>
      <w:r>
        <w:rPr>
          <w:rFonts w:ascii="Verdana" w:hAnsi="Verdana"/>
        </w:rPr>
        <w:t xml:space="preserve"> mediante RDO da inviare ad almeno quindici operatori economici abilitati al </w:t>
      </w:r>
      <w:proofErr w:type="spellStart"/>
      <w:r w:rsidRPr="00C759C4">
        <w:rPr>
          <w:rFonts w:ascii="Verdana" w:hAnsi="Verdana"/>
        </w:rPr>
        <w:t>MePA</w:t>
      </w:r>
      <w:proofErr w:type="spellEnd"/>
      <w:r w:rsidRPr="00C759C4">
        <w:rPr>
          <w:rFonts w:ascii="Verdana" w:hAnsi="Verdana"/>
        </w:rPr>
        <w:t xml:space="preserve"> per i lavori di manutenzione e di adeguamento degli impianti interni elettrici e </w:t>
      </w:r>
      <w:r w:rsidRPr="00B61F63">
        <w:rPr>
          <w:rFonts w:ascii="Verdana" w:hAnsi="Verdana"/>
        </w:rPr>
        <w:t xml:space="preserve">speciali </w:t>
      </w:r>
      <w:r w:rsidRPr="00535D98">
        <w:rPr>
          <w:rFonts w:ascii="Verdana" w:hAnsi="Verdana"/>
        </w:rPr>
        <w:t xml:space="preserve">OS30 </w:t>
      </w:r>
      <w:r w:rsidRPr="00B61F63">
        <w:rPr>
          <w:rFonts w:ascii="Verdana" w:hAnsi="Verdana"/>
        </w:rPr>
        <w:t>nello stabile da destinare a sede della Direzione Provinciale INPS di Trieste sito in via Lorenzo Ghiberti n. 4”;</w:t>
      </w:r>
    </w:p>
    <w:p w14:paraId="483E1178" w14:textId="77777777" w:rsidR="009C0E32" w:rsidRPr="00B61F63" w:rsidRDefault="009C0E32" w:rsidP="009C0E32">
      <w:pPr>
        <w:pStyle w:val="Paragrafoelenco"/>
        <w:autoSpaceDE w:val="0"/>
        <w:autoSpaceDN w:val="0"/>
        <w:spacing w:after="0" w:line="240" w:lineRule="auto"/>
        <w:ind w:left="426"/>
        <w:jc w:val="both"/>
        <w:rPr>
          <w:rFonts w:ascii="Verdana" w:hAnsi="Verdana"/>
        </w:rPr>
      </w:pPr>
    </w:p>
    <w:p w14:paraId="25A963B8" w14:textId="1030F1A7" w:rsidR="00B32004" w:rsidRDefault="00B32004" w:rsidP="009C0E32">
      <w:pPr>
        <w:pStyle w:val="Paragrafoelenco"/>
        <w:numPr>
          <w:ilvl w:val="0"/>
          <w:numId w:val="1"/>
        </w:numPr>
        <w:autoSpaceDE w:val="0"/>
        <w:autoSpaceDN w:val="0"/>
        <w:spacing w:after="0" w:line="240" w:lineRule="auto"/>
        <w:ind w:left="426"/>
        <w:jc w:val="both"/>
        <w:rPr>
          <w:rFonts w:ascii="Verdana" w:eastAsia="Times New Roman" w:hAnsi="Verdana"/>
          <w:color w:val="000000"/>
        </w:rPr>
      </w:pPr>
      <w:r w:rsidRPr="00B61F63">
        <w:rPr>
          <w:rFonts w:ascii="Verdana" w:eastAsia="Times New Roman" w:hAnsi="Verdana"/>
          <w:color w:val="000000"/>
        </w:rPr>
        <w:t xml:space="preserve">di approvare tutti gli allegati documenti del progetto consistenti in: Relazione </w:t>
      </w:r>
      <w:proofErr w:type="gramStart"/>
      <w:r w:rsidRPr="00B61F63">
        <w:rPr>
          <w:rFonts w:ascii="Verdana" w:eastAsia="Times New Roman" w:hAnsi="Verdana"/>
          <w:color w:val="000000"/>
        </w:rPr>
        <w:t xml:space="preserve">Unica </w:t>
      </w:r>
      <w:r w:rsidR="00084E08">
        <w:rPr>
          <w:rFonts w:ascii="Verdana" w:eastAsia="Times New Roman" w:hAnsi="Verdana"/>
          <w:color w:val="000000"/>
        </w:rPr>
        <w:t xml:space="preserve"> </w:t>
      </w:r>
      <w:r w:rsidRPr="00B61F63">
        <w:rPr>
          <w:rFonts w:ascii="Verdana" w:eastAsia="Times New Roman" w:hAnsi="Verdana"/>
          <w:color w:val="000000"/>
        </w:rPr>
        <w:t>di</w:t>
      </w:r>
      <w:proofErr w:type="gramEnd"/>
      <w:r w:rsidRPr="00B61F63">
        <w:rPr>
          <w:rFonts w:ascii="Verdana" w:eastAsia="Times New Roman" w:hAnsi="Verdana"/>
          <w:color w:val="000000"/>
        </w:rPr>
        <w:t xml:space="preserve"> progetto, Quadro economico esecutivo, Capitolato Speciale d’Appalto – Norme generali e specificazioni tecniche, Disciplinare di gara per </w:t>
      </w:r>
      <w:proofErr w:type="spellStart"/>
      <w:r w:rsidRPr="00B61F63">
        <w:rPr>
          <w:rFonts w:ascii="Verdana" w:eastAsia="Times New Roman" w:hAnsi="Verdana"/>
          <w:color w:val="000000"/>
        </w:rPr>
        <w:t>R.d.O</w:t>
      </w:r>
      <w:proofErr w:type="spellEnd"/>
      <w:r w:rsidRPr="00B61F63">
        <w:rPr>
          <w:rFonts w:ascii="Verdana" w:eastAsia="Times New Roman" w:hAnsi="Verdana"/>
          <w:color w:val="000000"/>
        </w:rPr>
        <w:t xml:space="preserve">. su Piattaforma </w:t>
      </w:r>
      <w:proofErr w:type="spellStart"/>
      <w:r w:rsidRPr="00B61F63">
        <w:rPr>
          <w:rFonts w:ascii="Verdana" w:eastAsia="Times New Roman" w:hAnsi="Verdana"/>
          <w:color w:val="000000"/>
        </w:rPr>
        <w:t>Me.P.A</w:t>
      </w:r>
      <w:proofErr w:type="spellEnd"/>
      <w:r w:rsidRPr="00B61F63">
        <w:rPr>
          <w:rFonts w:ascii="Verdana" w:eastAsia="Times New Roman" w:hAnsi="Verdana"/>
          <w:color w:val="000000"/>
        </w:rPr>
        <w:t>, Schema di contratto normativo; e di approvare la verifica e validazione condotta dal RUP ai sensi dell’art. 26 del Codice dei contratti pubblici;</w:t>
      </w:r>
    </w:p>
    <w:p w14:paraId="40B34AF7" w14:textId="77777777" w:rsidR="009C0E32" w:rsidRPr="00B61F63" w:rsidRDefault="009C0E32" w:rsidP="009C0E32">
      <w:pPr>
        <w:pStyle w:val="Paragrafoelenco"/>
        <w:autoSpaceDE w:val="0"/>
        <w:autoSpaceDN w:val="0"/>
        <w:spacing w:after="0" w:line="240" w:lineRule="auto"/>
        <w:ind w:left="426"/>
        <w:jc w:val="both"/>
        <w:rPr>
          <w:rFonts w:ascii="Verdana" w:eastAsia="Times New Roman" w:hAnsi="Verdana"/>
          <w:color w:val="000000"/>
        </w:rPr>
      </w:pPr>
    </w:p>
    <w:p w14:paraId="6E636242" w14:textId="394FC185" w:rsidR="00B32004" w:rsidRDefault="00B32004" w:rsidP="009C0E32">
      <w:pPr>
        <w:pStyle w:val="Paragrafoelenco"/>
        <w:numPr>
          <w:ilvl w:val="0"/>
          <w:numId w:val="1"/>
        </w:numPr>
        <w:autoSpaceDE w:val="0"/>
        <w:autoSpaceDN w:val="0"/>
        <w:spacing w:after="0" w:line="240" w:lineRule="auto"/>
        <w:ind w:left="426"/>
        <w:jc w:val="both"/>
        <w:rPr>
          <w:rFonts w:ascii="Verdana" w:eastAsia="Times New Roman" w:hAnsi="Verdana"/>
        </w:rPr>
      </w:pPr>
      <w:r w:rsidRPr="00B61F63">
        <w:rPr>
          <w:rFonts w:ascii="Verdana" w:eastAsia="Times New Roman" w:hAnsi="Verdana"/>
        </w:rPr>
        <w:t xml:space="preserve">di adottare quale criterio di affidamento dell’Accordo Quadro quello del minor </w:t>
      </w:r>
      <w:proofErr w:type="gramStart"/>
      <w:r w:rsidRPr="00B61F63">
        <w:rPr>
          <w:rFonts w:ascii="Verdana" w:eastAsia="Times New Roman" w:hAnsi="Verdana"/>
        </w:rPr>
        <w:t xml:space="preserve">prezzo, </w:t>
      </w:r>
      <w:r w:rsidR="00084E08">
        <w:rPr>
          <w:rFonts w:ascii="Verdana" w:eastAsia="Times New Roman" w:hAnsi="Verdana"/>
        </w:rPr>
        <w:t xml:space="preserve"> </w:t>
      </w:r>
      <w:r w:rsidRPr="00B61F63">
        <w:rPr>
          <w:rFonts w:ascii="Verdana" w:eastAsia="Times New Roman" w:hAnsi="Verdana"/>
        </w:rPr>
        <w:t>ai</w:t>
      </w:r>
      <w:proofErr w:type="gramEnd"/>
      <w:r w:rsidRPr="00B61F63">
        <w:rPr>
          <w:rFonts w:ascii="Verdana" w:eastAsia="Times New Roman" w:hAnsi="Verdana"/>
        </w:rPr>
        <w:t xml:space="preserve"> sensi dell’art. 36, comma 9-bis, del Codice dei contratti pubblici;</w:t>
      </w:r>
    </w:p>
    <w:p w14:paraId="43BFD259" w14:textId="77777777" w:rsidR="009C0E32" w:rsidRPr="00B61F63" w:rsidRDefault="009C0E32" w:rsidP="009C0E32">
      <w:pPr>
        <w:pStyle w:val="Paragrafoelenco"/>
        <w:autoSpaceDE w:val="0"/>
        <w:autoSpaceDN w:val="0"/>
        <w:spacing w:after="0" w:line="240" w:lineRule="auto"/>
        <w:ind w:left="426"/>
        <w:jc w:val="both"/>
        <w:rPr>
          <w:rFonts w:ascii="Verdana" w:eastAsia="Times New Roman" w:hAnsi="Verdana"/>
        </w:rPr>
      </w:pPr>
    </w:p>
    <w:p w14:paraId="75BD64B3" w14:textId="30F581AA" w:rsidR="00B32004" w:rsidRDefault="00B32004" w:rsidP="009C0E32">
      <w:pPr>
        <w:pStyle w:val="Paragrafoelenco"/>
        <w:numPr>
          <w:ilvl w:val="0"/>
          <w:numId w:val="1"/>
        </w:numPr>
        <w:spacing w:line="240" w:lineRule="auto"/>
        <w:ind w:left="426" w:hanging="426"/>
        <w:jc w:val="both"/>
        <w:rPr>
          <w:rFonts w:ascii="Verdana" w:eastAsia="Times New Roman" w:hAnsi="Verdana"/>
          <w:color w:val="000000"/>
        </w:rPr>
      </w:pPr>
      <w:r w:rsidRPr="00B61F63">
        <w:rPr>
          <w:rFonts w:ascii="Verdana" w:eastAsia="Times New Roman" w:hAnsi="Verdana"/>
          <w:color w:val="000000"/>
        </w:rPr>
        <w:t xml:space="preserve">di omettere la richiesta della garanzia provvisoria prevista dall’art. 93 del d.lgs.50/2016 </w:t>
      </w:r>
      <w:proofErr w:type="spellStart"/>
      <w:r w:rsidRPr="00B61F63">
        <w:rPr>
          <w:rFonts w:ascii="Verdana" w:eastAsia="Times New Roman" w:hAnsi="Verdana"/>
          <w:color w:val="000000"/>
        </w:rPr>
        <w:t>ss.mm.ii</w:t>
      </w:r>
      <w:proofErr w:type="spellEnd"/>
      <w:r w:rsidRPr="00B61F63">
        <w:rPr>
          <w:rFonts w:ascii="Verdana" w:eastAsia="Times New Roman" w:hAnsi="Verdana"/>
          <w:color w:val="000000"/>
        </w:rPr>
        <w:t>. tenuto conto che in base all’art. 1 – 4 comma- del D.L. 76/2010 convertito</w:t>
      </w:r>
      <w:r>
        <w:rPr>
          <w:rFonts w:ascii="Verdana" w:eastAsia="Times New Roman" w:hAnsi="Verdana"/>
          <w:color w:val="000000"/>
        </w:rPr>
        <w:t xml:space="preserve"> nella legge 120/2020 tale garanzia non è obbligatoria, e che omettendola si evita di porre a carico delle imprese, soprattutto quelle di minori dimensioni, ulteriori aggravi di spese; </w:t>
      </w:r>
    </w:p>
    <w:p w14:paraId="1819527D" w14:textId="77777777" w:rsidR="009C0E32" w:rsidRPr="009C0E32" w:rsidRDefault="009C0E32" w:rsidP="009C0E32">
      <w:pPr>
        <w:pStyle w:val="Paragrafoelenco"/>
        <w:rPr>
          <w:rFonts w:ascii="Verdana" w:eastAsia="Times New Roman" w:hAnsi="Verdana"/>
          <w:color w:val="000000"/>
        </w:rPr>
      </w:pPr>
    </w:p>
    <w:p w14:paraId="557C2EB9" w14:textId="77777777" w:rsidR="009C0E32" w:rsidRDefault="009C0E32" w:rsidP="009C0E32">
      <w:pPr>
        <w:pStyle w:val="Paragrafoelenco"/>
        <w:spacing w:line="240" w:lineRule="auto"/>
        <w:ind w:left="426"/>
        <w:jc w:val="both"/>
        <w:rPr>
          <w:rFonts w:ascii="Verdana" w:eastAsia="Times New Roman" w:hAnsi="Verdana"/>
          <w:color w:val="000000"/>
        </w:rPr>
      </w:pPr>
    </w:p>
    <w:p w14:paraId="7DCD286D" w14:textId="05A73189" w:rsidR="00B32004" w:rsidRDefault="00B32004" w:rsidP="009C0E32">
      <w:pPr>
        <w:pStyle w:val="Paragrafoelenco"/>
        <w:numPr>
          <w:ilvl w:val="0"/>
          <w:numId w:val="1"/>
        </w:numPr>
        <w:spacing w:line="240" w:lineRule="auto"/>
        <w:ind w:left="426"/>
        <w:jc w:val="both"/>
        <w:rPr>
          <w:rFonts w:ascii="Verdana" w:eastAsia="Times New Roman" w:hAnsi="Verdana"/>
        </w:rPr>
      </w:pPr>
      <w:r>
        <w:rPr>
          <w:rFonts w:ascii="Verdana" w:eastAsia="Times New Roman" w:hAnsi="Verdana"/>
          <w:color w:val="000000"/>
        </w:rPr>
        <w:t xml:space="preserve">di limitare </w:t>
      </w:r>
      <w:r>
        <w:rPr>
          <w:rFonts w:ascii="Verdana" w:eastAsia="Times New Roman" w:hAnsi="Verdana"/>
        </w:rPr>
        <w:t>il subappalto al solo 30%, senza utilizzare il limite massimo del 40% consentito con la deroga temporanea introdotta fino al 31/12/2020 dall’art. 1 comma 18 del D.L. 18/04/2019 n.32 convertito con modifiche con la Legge 14/06/2019 n. 55, in quanto i lavori in oggetto necessitano di essere massimamente controllati perché svolti all’interno di edifici complessi che erogano servizi pubblici e svolgono pubbliche funzioni amministrative;</w:t>
      </w:r>
    </w:p>
    <w:p w14:paraId="7A2405FF" w14:textId="77777777" w:rsidR="009C0E32" w:rsidRDefault="009C0E32" w:rsidP="009C0E32">
      <w:pPr>
        <w:pStyle w:val="Paragrafoelenco"/>
        <w:spacing w:line="240" w:lineRule="auto"/>
        <w:ind w:left="426"/>
        <w:jc w:val="both"/>
        <w:rPr>
          <w:rFonts w:ascii="Verdana" w:eastAsia="Times New Roman" w:hAnsi="Verdana"/>
        </w:rPr>
      </w:pPr>
    </w:p>
    <w:p w14:paraId="11550F01" w14:textId="681A07E1" w:rsidR="00E7121C" w:rsidRPr="00E7121C" w:rsidRDefault="00084E08" w:rsidP="009C0E32">
      <w:pPr>
        <w:pStyle w:val="Paragrafoelenco"/>
        <w:numPr>
          <w:ilvl w:val="0"/>
          <w:numId w:val="1"/>
        </w:numPr>
        <w:spacing w:after="0" w:line="240" w:lineRule="auto"/>
        <w:jc w:val="both"/>
        <w:rPr>
          <w:rFonts w:ascii="Verdana" w:hAnsi="Verdana"/>
        </w:rPr>
      </w:pPr>
      <w:r>
        <w:rPr>
          <w:rFonts w:ascii="Verdana" w:eastAsia="Times New Roman" w:hAnsi="Verdana"/>
        </w:rPr>
        <w:t xml:space="preserve"> </w:t>
      </w:r>
      <w:r w:rsidR="00B61F63" w:rsidRPr="00E7121C">
        <w:rPr>
          <w:rFonts w:ascii="Verdana" w:eastAsia="Times New Roman" w:hAnsi="Verdana"/>
        </w:rPr>
        <w:t xml:space="preserve">di nominare il Gruppo di Lavoro con un distinto atto del sottoscritto Direttore </w:t>
      </w:r>
      <w:r>
        <w:rPr>
          <w:rFonts w:ascii="Verdana" w:eastAsia="Times New Roman" w:hAnsi="Verdana"/>
        </w:rPr>
        <w:t xml:space="preserve"> </w:t>
      </w:r>
      <w:r w:rsidR="004D1F96">
        <w:rPr>
          <w:rFonts w:ascii="Verdana" w:eastAsia="Times New Roman" w:hAnsi="Verdana"/>
        </w:rPr>
        <w:t xml:space="preserve"> </w:t>
      </w:r>
      <w:r w:rsidR="00B61F63" w:rsidRPr="00E7121C">
        <w:rPr>
          <w:rFonts w:ascii="Verdana" w:eastAsia="Times New Roman" w:hAnsi="Verdana"/>
        </w:rPr>
        <w:t xml:space="preserve">regionale INPS per il </w:t>
      </w:r>
      <w:proofErr w:type="gramStart"/>
      <w:r w:rsidR="00B61F63" w:rsidRPr="00E7121C">
        <w:rPr>
          <w:rFonts w:ascii="Verdana" w:eastAsia="Times New Roman" w:hAnsi="Verdana"/>
        </w:rPr>
        <w:t>Friuli Venezia Giulia</w:t>
      </w:r>
      <w:proofErr w:type="gramEnd"/>
      <w:r w:rsidR="00B61F63" w:rsidRPr="00E7121C">
        <w:rPr>
          <w:rFonts w:ascii="Verdana" w:eastAsia="Times New Roman" w:hAnsi="Verdana"/>
        </w:rPr>
        <w:t xml:space="preserve">, successivamente alla approvazione della presente determinazione di indizione della procedura negoziata sul </w:t>
      </w:r>
      <w:proofErr w:type="spellStart"/>
      <w:r w:rsidR="00B61F63" w:rsidRPr="00E7121C">
        <w:rPr>
          <w:rFonts w:ascii="Verdana" w:eastAsia="Times New Roman" w:hAnsi="Verdana"/>
        </w:rPr>
        <w:t>MePA</w:t>
      </w:r>
      <w:proofErr w:type="spellEnd"/>
      <w:r w:rsidR="00B61F63" w:rsidRPr="00E7121C">
        <w:rPr>
          <w:rFonts w:ascii="Verdana" w:eastAsia="Times New Roman" w:hAnsi="Verdana"/>
        </w:rPr>
        <w:t>;</w:t>
      </w:r>
    </w:p>
    <w:p w14:paraId="7C3380A7" w14:textId="4B443245" w:rsidR="00B32004" w:rsidRDefault="00B61F63" w:rsidP="009C0E32">
      <w:pPr>
        <w:pStyle w:val="Paragrafoelenco"/>
        <w:numPr>
          <w:ilvl w:val="0"/>
          <w:numId w:val="1"/>
        </w:numPr>
        <w:spacing w:after="0" w:line="240" w:lineRule="auto"/>
        <w:jc w:val="both"/>
        <w:rPr>
          <w:rFonts w:ascii="Verdana" w:hAnsi="Verdana"/>
          <w:b/>
          <w:bCs/>
        </w:rPr>
      </w:pPr>
      <w:r w:rsidRPr="00E7121C">
        <w:rPr>
          <w:rFonts w:ascii="Verdana" w:hAnsi="Verdana"/>
        </w:rPr>
        <w:t>di costituire</w:t>
      </w:r>
      <w:r w:rsidRPr="00E7121C">
        <w:rPr>
          <w:rFonts w:ascii="Verdana" w:hAnsi="Verdana"/>
          <w:b/>
          <w:bCs/>
        </w:rPr>
        <w:t xml:space="preserve"> </w:t>
      </w:r>
      <w:r w:rsidRPr="00E7121C">
        <w:rPr>
          <w:rFonts w:ascii="Verdana" w:hAnsi="Verdana"/>
        </w:rPr>
        <w:t>un seggio di gara semplificato per il completo espletamento della procedura telematica, secondo le disposizioni della Determinazione n. RS30/079/2020 approvata il 19.02.2020 dalla DCRSCUA;</w:t>
      </w:r>
      <w:r w:rsidR="00B32004">
        <w:rPr>
          <w:rFonts w:ascii="Verdana" w:hAnsi="Verdana"/>
          <w:i/>
          <w:iCs/>
        </w:rPr>
        <w:t xml:space="preserve">                                         </w:t>
      </w:r>
      <w:r w:rsidR="00123B1D">
        <w:rPr>
          <w:rFonts w:ascii="Verdana" w:hAnsi="Verdana"/>
          <w:i/>
          <w:iCs/>
        </w:rPr>
        <w:t xml:space="preserve">    </w:t>
      </w:r>
    </w:p>
    <w:p w14:paraId="26E16322" w14:textId="4FF1B793" w:rsidR="00B32004" w:rsidRDefault="00B32004" w:rsidP="009C0E32">
      <w:pPr>
        <w:pStyle w:val="Paragrafoelenco"/>
        <w:numPr>
          <w:ilvl w:val="0"/>
          <w:numId w:val="2"/>
        </w:numPr>
        <w:spacing w:line="240" w:lineRule="auto"/>
        <w:ind w:left="426"/>
        <w:jc w:val="both"/>
        <w:rPr>
          <w:rFonts w:ascii="Verdana" w:hAnsi="Verdana"/>
        </w:rPr>
      </w:pPr>
      <w:r>
        <w:rPr>
          <w:rFonts w:ascii="Verdana" w:hAnsi="Verdana"/>
        </w:rPr>
        <w:t xml:space="preserve">di autorizzare e imputare le spese al capitolo di </w:t>
      </w:r>
      <w:r w:rsidRPr="00033F9A">
        <w:rPr>
          <w:rFonts w:ascii="Verdana" w:hAnsi="Verdana"/>
        </w:rPr>
        <w:t>spesa 5U211201007</w:t>
      </w:r>
      <w:r>
        <w:rPr>
          <w:rFonts w:ascii="Verdana" w:hAnsi="Verdana"/>
        </w:rPr>
        <w:t xml:space="preserve"> del bilancio INPS 2020, secondo il prospetto seguente:</w:t>
      </w:r>
    </w:p>
    <w:tbl>
      <w:tblPr>
        <w:tblW w:w="9282" w:type="dxa"/>
        <w:tblInd w:w="137" w:type="dxa"/>
        <w:tblCellMar>
          <w:left w:w="0" w:type="dxa"/>
          <w:right w:w="0" w:type="dxa"/>
        </w:tblCellMar>
        <w:tblLook w:val="04A0" w:firstRow="1" w:lastRow="0" w:firstColumn="1" w:lastColumn="0" w:noHBand="0" w:noVBand="1"/>
      </w:tblPr>
      <w:tblGrid>
        <w:gridCol w:w="3578"/>
        <w:gridCol w:w="2615"/>
        <w:gridCol w:w="3089"/>
      </w:tblGrid>
      <w:tr w:rsidR="00B32004" w14:paraId="2426192F" w14:textId="77777777" w:rsidTr="00B32004">
        <w:tc>
          <w:tcPr>
            <w:tcW w:w="3578"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14:paraId="63ACD8D1" w14:textId="0670407E" w:rsidR="00B32004" w:rsidRDefault="00E508E3">
            <w:pPr>
              <w:jc w:val="center"/>
              <w:rPr>
                <w:rFonts w:ascii="Verdana" w:hAnsi="Verdana"/>
                <w:b/>
                <w:bCs/>
              </w:rPr>
            </w:pPr>
            <w:r>
              <w:rPr>
                <w:rFonts w:ascii="Verdana" w:hAnsi="Verdana"/>
                <w:b/>
                <w:bCs/>
              </w:rPr>
              <w:lastRenderedPageBreak/>
              <w:t>L</w:t>
            </w:r>
            <w:r w:rsidR="00B32004">
              <w:rPr>
                <w:rFonts w:ascii="Verdana" w:hAnsi="Verdana"/>
                <w:b/>
                <w:bCs/>
              </w:rPr>
              <w:t xml:space="preserve">avori capitolo 5U211201007 </w:t>
            </w:r>
          </w:p>
        </w:tc>
        <w:tc>
          <w:tcPr>
            <w:tcW w:w="2615" w:type="dxa"/>
            <w:tcBorders>
              <w:top w:val="dotted" w:sz="8" w:space="0" w:color="auto"/>
              <w:left w:val="nil"/>
              <w:bottom w:val="dotted" w:sz="8" w:space="0" w:color="auto"/>
              <w:right w:val="dotted" w:sz="8" w:space="0" w:color="auto"/>
            </w:tcBorders>
            <w:tcMar>
              <w:top w:w="0" w:type="dxa"/>
              <w:left w:w="108" w:type="dxa"/>
              <w:bottom w:w="0" w:type="dxa"/>
              <w:right w:w="108" w:type="dxa"/>
            </w:tcMar>
            <w:hideMark/>
          </w:tcPr>
          <w:p w14:paraId="7906BA17" w14:textId="77777777" w:rsidR="00B32004" w:rsidRDefault="00B32004">
            <w:pPr>
              <w:jc w:val="center"/>
              <w:rPr>
                <w:rFonts w:ascii="Verdana" w:hAnsi="Verdana"/>
                <w:b/>
                <w:bCs/>
              </w:rPr>
            </w:pPr>
            <w:r>
              <w:rPr>
                <w:rFonts w:ascii="Verdana" w:hAnsi="Verdana"/>
                <w:b/>
                <w:bCs/>
              </w:rPr>
              <w:t>Iva al 22%</w:t>
            </w:r>
          </w:p>
        </w:tc>
        <w:tc>
          <w:tcPr>
            <w:tcW w:w="3089" w:type="dxa"/>
            <w:tcBorders>
              <w:top w:val="dotted" w:sz="8" w:space="0" w:color="auto"/>
              <w:left w:val="nil"/>
              <w:bottom w:val="dotted" w:sz="8" w:space="0" w:color="auto"/>
              <w:right w:val="dotted" w:sz="8" w:space="0" w:color="auto"/>
            </w:tcBorders>
            <w:tcMar>
              <w:top w:w="0" w:type="dxa"/>
              <w:left w:w="108" w:type="dxa"/>
              <w:bottom w:w="0" w:type="dxa"/>
              <w:right w:w="108" w:type="dxa"/>
            </w:tcMar>
            <w:hideMark/>
          </w:tcPr>
          <w:p w14:paraId="121E0157" w14:textId="77777777" w:rsidR="00B32004" w:rsidRDefault="00B32004">
            <w:pPr>
              <w:jc w:val="center"/>
              <w:rPr>
                <w:rFonts w:ascii="Verdana" w:hAnsi="Verdana"/>
                <w:b/>
                <w:bCs/>
              </w:rPr>
            </w:pPr>
            <w:r>
              <w:rPr>
                <w:rFonts w:ascii="Verdana" w:hAnsi="Verdana"/>
                <w:b/>
                <w:bCs/>
              </w:rPr>
              <w:t>Totale con IVA</w:t>
            </w:r>
          </w:p>
        </w:tc>
      </w:tr>
      <w:tr w:rsidR="00B32004" w14:paraId="6D83F469" w14:textId="77777777" w:rsidTr="00B32004">
        <w:tc>
          <w:tcPr>
            <w:tcW w:w="357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64A0EADA" w14:textId="77777777" w:rsidR="00B32004" w:rsidRDefault="00B32004">
            <w:pPr>
              <w:jc w:val="right"/>
              <w:rPr>
                <w:rFonts w:ascii="Verdana" w:hAnsi="Verdana"/>
              </w:rPr>
            </w:pPr>
            <w:r>
              <w:rPr>
                <w:rFonts w:ascii="Verdana" w:hAnsi="Verdana"/>
              </w:rPr>
              <w:t>           € 278.000,00</w:t>
            </w:r>
          </w:p>
        </w:tc>
        <w:tc>
          <w:tcPr>
            <w:tcW w:w="2615" w:type="dxa"/>
            <w:tcBorders>
              <w:top w:val="nil"/>
              <w:left w:val="nil"/>
              <w:bottom w:val="dotted" w:sz="8" w:space="0" w:color="auto"/>
              <w:right w:val="dotted" w:sz="8" w:space="0" w:color="auto"/>
            </w:tcBorders>
            <w:tcMar>
              <w:top w:w="0" w:type="dxa"/>
              <w:left w:w="108" w:type="dxa"/>
              <w:bottom w:w="0" w:type="dxa"/>
              <w:right w:w="108" w:type="dxa"/>
            </w:tcMar>
            <w:hideMark/>
          </w:tcPr>
          <w:p w14:paraId="0C5E91AD" w14:textId="77777777" w:rsidR="00B32004" w:rsidRDefault="00B32004">
            <w:pPr>
              <w:jc w:val="right"/>
              <w:rPr>
                <w:rFonts w:ascii="Verdana" w:hAnsi="Verdana"/>
              </w:rPr>
            </w:pPr>
            <w:r>
              <w:rPr>
                <w:rFonts w:ascii="Verdana" w:hAnsi="Verdana"/>
              </w:rPr>
              <w:t xml:space="preserve">€ 61.160,00  </w:t>
            </w:r>
          </w:p>
        </w:tc>
        <w:tc>
          <w:tcPr>
            <w:tcW w:w="3089" w:type="dxa"/>
            <w:tcBorders>
              <w:top w:val="nil"/>
              <w:left w:val="nil"/>
              <w:bottom w:val="dotted" w:sz="8" w:space="0" w:color="auto"/>
              <w:right w:val="dotted" w:sz="8" w:space="0" w:color="auto"/>
            </w:tcBorders>
            <w:tcMar>
              <w:top w:w="0" w:type="dxa"/>
              <w:left w:w="108" w:type="dxa"/>
              <w:bottom w:w="0" w:type="dxa"/>
              <w:right w:w="108" w:type="dxa"/>
            </w:tcMar>
            <w:hideMark/>
          </w:tcPr>
          <w:p w14:paraId="23076394" w14:textId="77777777" w:rsidR="00B32004" w:rsidRDefault="00B32004">
            <w:pPr>
              <w:jc w:val="right"/>
              <w:rPr>
                <w:rFonts w:ascii="Verdana" w:hAnsi="Verdana"/>
              </w:rPr>
            </w:pPr>
            <w:r>
              <w:rPr>
                <w:rFonts w:ascii="Verdana" w:hAnsi="Verdana"/>
              </w:rPr>
              <w:t>€ 339.160,00</w:t>
            </w:r>
          </w:p>
        </w:tc>
      </w:tr>
      <w:tr w:rsidR="00B32004" w14:paraId="2484D1B6" w14:textId="77777777" w:rsidTr="00B32004">
        <w:tc>
          <w:tcPr>
            <w:tcW w:w="357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7A446391" w14:textId="77777777" w:rsidR="00B32004" w:rsidRDefault="00B32004">
            <w:pPr>
              <w:jc w:val="both"/>
              <w:rPr>
                <w:rFonts w:ascii="Verdana" w:hAnsi="Verdana"/>
              </w:rPr>
            </w:pPr>
            <w:r>
              <w:rPr>
                <w:rFonts w:ascii="Verdana" w:hAnsi="Verdana"/>
              </w:rPr>
              <w:t xml:space="preserve">di cui € 5.400,00 per oneri per la sicurezza ex d.lgs.81/2008 </w:t>
            </w:r>
            <w:proofErr w:type="spellStart"/>
            <w:r>
              <w:rPr>
                <w:rFonts w:ascii="Verdana" w:hAnsi="Verdana"/>
              </w:rPr>
              <w:t>ss.mm.ii</w:t>
            </w:r>
            <w:proofErr w:type="spellEnd"/>
            <w:r>
              <w:rPr>
                <w:rFonts w:ascii="Verdana" w:hAnsi="Verdana"/>
              </w:rPr>
              <w:t>.</w:t>
            </w:r>
          </w:p>
        </w:tc>
        <w:tc>
          <w:tcPr>
            <w:tcW w:w="2615" w:type="dxa"/>
            <w:tcBorders>
              <w:top w:val="nil"/>
              <w:left w:val="nil"/>
              <w:bottom w:val="dotted" w:sz="8" w:space="0" w:color="auto"/>
              <w:right w:val="dotted" w:sz="8" w:space="0" w:color="auto"/>
            </w:tcBorders>
            <w:tcMar>
              <w:top w:w="0" w:type="dxa"/>
              <w:left w:w="108" w:type="dxa"/>
              <w:bottom w:w="0" w:type="dxa"/>
              <w:right w:w="108" w:type="dxa"/>
            </w:tcMar>
          </w:tcPr>
          <w:p w14:paraId="2CACA298" w14:textId="77777777" w:rsidR="00B32004" w:rsidRDefault="00B32004">
            <w:pPr>
              <w:jc w:val="both"/>
              <w:rPr>
                <w:rFonts w:ascii="Verdana" w:hAnsi="Verdana"/>
              </w:rPr>
            </w:pPr>
          </w:p>
        </w:tc>
        <w:tc>
          <w:tcPr>
            <w:tcW w:w="3089" w:type="dxa"/>
            <w:tcBorders>
              <w:top w:val="nil"/>
              <w:left w:val="nil"/>
              <w:bottom w:val="dotted" w:sz="8" w:space="0" w:color="auto"/>
              <w:right w:val="dotted" w:sz="8" w:space="0" w:color="auto"/>
            </w:tcBorders>
            <w:tcMar>
              <w:top w:w="0" w:type="dxa"/>
              <w:left w:w="108" w:type="dxa"/>
              <w:bottom w:w="0" w:type="dxa"/>
              <w:right w:w="108" w:type="dxa"/>
            </w:tcMar>
          </w:tcPr>
          <w:p w14:paraId="75E670DD" w14:textId="77777777" w:rsidR="00B32004" w:rsidRDefault="00B32004">
            <w:pPr>
              <w:jc w:val="both"/>
              <w:rPr>
                <w:rFonts w:ascii="Verdana" w:hAnsi="Verdana"/>
              </w:rPr>
            </w:pPr>
          </w:p>
        </w:tc>
      </w:tr>
      <w:tr w:rsidR="00B32004" w14:paraId="4991FB05" w14:textId="77777777" w:rsidTr="00B32004">
        <w:tc>
          <w:tcPr>
            <w:tcW w:w="357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166DFDAC" w14:textId="77777777" w:rsidR="00B32004" w:rsidRDefault="00B32004">
            <w:pPr>
              <w:jc w:val="both"/>
              <w:rPr>
                <w:rFonts w:ascii="Verdana" w:hAnsi="Verdana"/>
              </w:rPr>
            </w:pPr>
            <w:r>
              <w:rPr>
                <w:rFonts w:ascii="Verdana" w:hAnsi="Verdana"/>
              </w:rPr>
              <w:t xml:space="preserve">   € 5.560,00 ex art. 113 d.lgs. 50/2016 </w:t>
            </w:r>
            <w:proofErr w:type="spellStart"/>
            <w:r>
              <w:rPr>
                <w:rFonts w:ascii="Verdana" w:hAnsi="Verdana"/>
              </w:rPr>
              <w:t>ss.mm.ii</w:t>
            </w:r>
            <w:proofErr w:type="spellEnd"/>
            <w:r>
              <w:rPr>
                <w:rFonts w:ascii="Verdana" w:hAnsi="Verdana"/>
              </w:rPr>
              <w:t>.</w:t>
            </w:r>
          </w:p>
        </w:tc>
        <w:tc>
          <w:tcPr>
            <w:tcW w:w="2615" w:type="dxa"/>
            <w:tcBorders>
              <w:top w:val="nil"/>
              <w:left w:val="nil"/>
              <w:bottom w:val="dotted" w:sz="8" w:space="0" w:color="auto"/>
              <w:right w:val="dotted" w:sz="8" w:space="0" w:color="auto"/>
            </w:tcBorders>
            <w:tcMar>
              <w:top w:w="0" w:type="dxa"/>
              <w:left w:w="108" w:type="dxa"/>
              <w:bottom w:w="0" w:type="dxa"/>
              <w:right w:w="108" w:type="dxa"/>
            </w:tcMar>
          </w:tcPr>
          <w:p w14:paraId="14A97F10" w14:textId="77777777" w:rsidR="00B32004" w:rsidRDefault="00B32004">
            <w:pPr>
              <w:jc w:val="both"/>
              <w:rPr>
                <w:rFonts w:ascii="Verdana" w:hAnsi="Verdana"/>
              </w:rPr>
            </w:pPr>
          </w:p>
        </w:tc>
        <w:tc>
          <w:tcPr>
            <w:tcW w:w="3089" w:type="dxa"/>
            <w:tcBorders>
              <w:top w:val="nil"/>
              <w:left w:val="nil"/>
              <w:bottom w:val="dotted" w:sz="8" w:space="0" w:color="auto"/>
              <w:right w:val="dotted" w:sz="8" w:space="0" w:color="auto"/>
            </w:tcBorders>
            <w:tcMar>
              <w:top w:w="0" w:type="dxa"/>
              <w:left w:w="108" w:type="dxa"/>
              <w:bottom w:w="0" w:type="dxa"/>
              <w:right w:w="108" w:type="dxa"/>
            </w:tcMar>
            <w:hideMark/>
          </w:tcPr>
          <w:p w14:paraId="457C388B" w14:textId="77777777" w:rsidR="00B32004" w:rsidRDefault="00B32004">
            <w:pPr>
              <w:jc w:val="both"/>
              <w:rPr>
                <w:rFonts w:ascii="Verdana" w:hAnsi="Verdana"/>
              </w:rPr>
            </w:pPr>
            <w:r>
              <w:rPr>
                <w:rFonts w:ascii="Verdana" w:hAnsi="Verdana"/>
              </w:rPr>
              <w:t xml:space="preserve">                   € 5.560,00  </w:t>
            </w:r>
          </w:p>
        </w:tc>
      </w:tr>
      <w:tr w:rsidR="00B32004" w14:paraId="0DF91A94" w14:textId="77777777" w:rsidTr="00B32004">
        <w:tc>
          <w:tcPr>
            <w:tcW w:w="357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0057D672" w14:textId="77777777" w:rsidR="00B32004" w:rsidRDefault="00B32004">
            <w:pPr>
              <w:jc w:val="both"/>
              <w:rPr>
                <w:rFonts w:ascii="Verdana" w:hAnsi="Verdana"/>
                <w:b/>
                <w:bCs/>
              </w:rPr>
            </w:pPr>
            <w:r>
              <w:rPr>
                <w:rFonts w:ascii="Verdana" w:hAnsi="Verdana"/>
                <w:b/>
                <w:bCs/>
              </w:rPr>
              <w:t xml:space="preserve">Totale </w:t>
            </w:r>
          </w:p>
        </w:tc>
        <w:tc>
          <w:tcPr>
            <w:tcW w:w="2615" w:type="dxa"/>
            <w:tcBorders>
              <w:top w:val="nil"/>
              <w:left w:val="nil"/>
              <w:bottom w:val="dotted" w:sz="8" w:space="0" w:color="auto"/>
              <w:right w:val="dotted" w:sz="8" w:space="0" w:color="auto"/>
            </w:tcBorders>
            <w:tcMar>
              <w:top w:w="0" w:type="dxa"/>
              <w:left w:w="108" w:type="dxa"/>
              <w:bottom w:w="0" w:type="dxa"/>
              <w:right w:w="108" w:type="dxa"/>
            </w:tcMar>
          </w:tcPr>
          <w:p w14:paraId="44CA8EE8" w14:textId="77777777" w:rsidR="00B32004" w:rsidRDefault="00B32004">
            <w:pPr>
              <w:jc w:val="both"/>
              <w:rPr>
                <w:rFonts w:ascii="Verdana" w:hAnsi="Verdana"/>
              </w:rPr>
            </w:pPr>
          </w:p>
        </w:tc>
        <w:tc>
          <w:tcPr>
            <w:tcW w:w="3089" w:type="dxa"/>
            <w:tcBorders>
              <w:top w:val="nil"/>
              <w:left w:val="nil"/>
              <w:bottom w:val="dotted" w:sz="8" w:space="0" w:color="auto"/>
              <w:right w:val="dotted" w:sz="8" w:space="0" w:color="auto"/>
            </w:tcBorders>
            <w:tcMar>
              <w:top w:w="0" w:type="dxa"/>
              <w:left w:w="108" w:type="dxa"/>
              <w:bottom w:w="0" w:type="dxa"/>
              <w:right w:w="108" w:type="dxa"/>
            </w:tcMar>
            <w:hideMark/>
          </w:tcPr>
          <w:p w14:paraId="29D93CAA" w14:textId="77777777" w:rsidR="00B32004" w:rsidRDefault="00B32004">
            <w:pPr>
              <w:jc w:val="both"/>
              <w:rPr>
                <w:rFonts w:ascii="Verdana" w:hAnsi="Verdana"/>
                <w:b/>
                <w:bCs/>
              </w:rPr>
            </w:pPr>
            <w:r>
              <w:rPr>
                <w:rFonts w:ascii="Verdana" w:hAnsi="Verdana"/>
                <w:b/>
                <w:bCs/>
              </w:rPr>
              <w:t xml:space="preserve">               </w:t>
            </w:r>
            <w:proofErr w:type="gramStart"/>
            <w:r>
              <w:rPr>
                <w:rFonts w:ascii="Verdana" w:hAnsi="Verdana"/>
                <w:b/>
                <w:bCs/>
              </w:rPr>
              <w:t>€  344.720</w:t>
            </w:r>
            <w:proofErr w:type="gramEnd"/>
            <w:r>
              <w:rPr>
                <w:rFonts w:ascii="Verdana" w:hAnsi="Verdana"/>
                <w:b/>
                <w:bCs/>
              </w:rPr>
              <w:t>,00</w:t>
            </w:r>
          </w:p>
        </w:tc>
      </w:tr>
    </w:tbl>
    <w:p w14:paraId="287D6AEC" w14:textId="77777777" w:rsidR="00B32004" w:rsidRDefault="00B32004" w:rsidP="00B32004">
      <w:pPr>
        <w:pStyle w:val="Paragrafoelenco"/>
        <w:autoSpaceDE w:val="0"/>
        <w:autoSpaceDN w:val="0"/>
        <w:spacing w:after="0" w:line="240" w:lineRule="auto"/>
        <w:jc w:val="both"/>
        <w:rPr>
          <w:rFonts w:ascii="Verdana" w:hAnsi="Verdana"/>
        </w:rPr>
      </w:pPr>
    </w:p>
    <w:p w14:paraId="6E7B9A53" w14:textId="77777777" w:rsidR="00B32004" w:rsidRDefault="00B32004" w:rsidP="00B32004">
      <w:pPr>
        <w:spacing w:after="0"/>
        <w:jc w:val="both"/>
        <w:rPr>
          <w:rFonts w:ascii="Verdana" w:hAnsi="Verdana"/>
          <w:b/>
          <w:bCs/>
          <w:color w:val="FF0000"/>
        </w:rPr>
      </w:pPr>
    </w:p>
    <w:p w14:paraId="449375AD" w14:textId="77777777" w:rsidR="007B0760" w:rsidRDefault="007B0760" w:rsidP="007B0760">
      <w:pPr>
        <w:spacing w:line="240" w:lineRule="auto"/>
        <w:ind w:left="142"/>
        <w:jc w:val="both"/>
        <w:rPr>
          <w:rFonts w:ascii="Verdana" w:hAnsi="Verdana"/>
        </w:rPr>
      </w:pPr>
      <w:r>
        <w:rPr>
          <w:rFonts w:ascii="Verdana" w:hAnsi="Verdana"/>
        </w:rPr>
        <w:t xml:space="preserve">La presente determinazione viene sottoscritta in duplice originale, di cui, dopo la registrazione, uno è conservato presso il Coordinamento regionale tecnico edilizio, e l’altro rimane depositato, unitamente al Registro delle determinazioni regionali, presso la Direzione regionale INPS </w:t>
      </w:r>
      <w:proofErr w:type="gramStart"/>
      <w:r>
        <w:rPr>
          <w:rFonts w:ascii="Verdana" w:hAnsi="Verdana"/>
        </w:rPr>
        <w:t>Friuli Venezia Giulia</w:t>
      </w:r>
      <w:proofErr w:type="gramEnd"/>
      <w:r>
        <w:rPr>
          <w:rFonts w:ascii="Verdana" w:hAnsi="Verdana"/>
        </w:rPr>
        <w:t>.</w:t>
      </w:r>
    </w:p>
    <w:p w14:paraId="681651F3" w14:textId="77777777" w:rsidR="007B0760" w:rsidRDefault="007B0760" w:rsidP="007B0760">
      <w:pPr>
        <w:spacing w:before="100" w:beforeAutospacing="1" w:after="0" w:line="240" w:lineRule="exact"/>
        <w:ind w:left="142"/>
        <w:jc w:val="both"/>
        <w:rPr>
          <w:rFonts w:ascii="Verdana" w:hAnsi="Verdana"/>
        </w:rPr>
      </w:pPr>
      <w:r>
        <w:rPr>
          <w:rFonts w:ascii="Verdana" w:hAnsi="Verdana"/>
        </w:rPr>
        <w:t>Copia della presente determinazione è trasmessa al Team Flussi Contabili della Direzione regionale INPS FVG per il seguito di competenza.</w:t>
      </w:r>
    </w:p>
    <w:p w14:paraId="3B52CAE4" w14:textId="77777777" w:rsidR="007B0760" w:rsidRDefault="007B0760" w:rsidP="007B0760">
      <w:pPr>
        <w:pStyle w:val="Paragrafoelenco"/>
        <w:spacing w:line="240" w:lineRule="auto"/>
        <w:ind w:left="142"/>
        <w:jc w:val="both"/>
        <w:rPr>
          <w:rFonts w:ascii="Verdana" w:hAnsi="Verdana"/>
        </w:rPr>
      </w:pPr>
    </w:p>
    <w:p w14:paraId="723E7114" w14:textId="77777777" w:rsidR="007B0760" w:rsidRDefault="007B0760" w:rsidP="007B0760">
      <w:pPr>
        <w:pStyle w:val="Paragrafoelenco"/>
        <w:spacing w:line="240" w:lineRule="auto"/>
        <w:ind w:left="142"/>
        <w:jc w:val="both"/>
        <w:rPr>
          <w:rFonts w:ascii="Verdana" w:hAnsi="Verdana"/>
        </w:rPr>
      </w:pPr>
      <w:r>
        <w:rPr>
          <w:rFonts w:ascii="Verdana" w:hAnsi="Verdana"/>
        </w:rPr>
        <w:t xml:space="preserve">La presente determinazione sarà pubblicata sul profilo del committente INPS, nella sezione “Amministrazione Trasparente” in base al d.lgs. 33/2013 </w:t>
      </w:r>
      <w:proofErr w:type="spellStart"/>
      <w:r>
        <w:rPr>
          <w:rFonts w:ascii="Verdana" w:hAnsi="Verdana"/>
        </w:rPr>
        <w:t>ss.mm.ii</w:t>
      </w:r>
      <w:proofErr w:type="spellEnd"/>
      <w:r>
        <w:rPr>
          <w:rFonts w:ascii="Verdana" w:hAnsi="Verdana"/>
        </w:rPr>
        <w:t xml:space="preserve">. e all’art. 29-comma 2- del Codice dei contratti pubblici. </w:t>
      </w:r>
    </w:p>
    <w:p w14:paraId="60850DD1" w14:textId="0FBB582F" w:rsidR="007B0760" w:rsidRDefault="00672B11" w:rsidP="007B0760">
      <w:pPr>
        <w:spacing w:before="100" w:beforeAutospacing="1" w:after="0" w:line="240" w:lineRule="exact"/>
        <w:jc w:val="both"/>
        <w:rPr>
          <w:rFonts w:ascii="Verdana" w:hAnsi="Verdana"/>
          <w:b/>
          <w:bCs/>
        </w:rPr>
      </w:pPr>
      <w:r>
        <w:rPr>
          <w:rFonts w:ascii="Verdana" w:hAnsi="Verdana"/>
          <w:b/>
          <w:bCs/>
        </w:rPr>
        <w:t xml:space="preserve"> </w:t>
      </w:r>
      <w:r w:rsidR="007B0760">
        <w:rPr>
          <w:rFonts w:ascii="Verdana" w:hAnsi="Verdana"/>
          <w:b/>
          <w:bCs/>
        </w:rPr>
        <w:t>TEAM FLUSSI CONTABILI</w:t>
      </w:r>
    </w:p>
    <w:p w14:paraId="6B6FE703" w14:textId="190EE2BC" w:rsidR="007B0760" w:rsidRDefault="00672B11" w:rsidP="00C3218F">
      <w:pPr>
        <w:spacing w:before="100" w:beforeAutospacing="1" w:after="0" w:line="360" w:lineRule="auto"/>
        <w:jc w:val="both"/>
        <w:rPr>
          <w:rFonts w:ascii="Verdana" w:hAnsi="Verdana"/>
        </w:rPr>
      </w:pPr>
      <w:r>
        <w:rPr>
          <w:rFonts w:ascii="Verdana" w:hAnsi="Verdana"/>
        </w:rPr>
        <w:t xml:space="preserve"> </w:t>
      </w:r>
      <w:r w:rsidR="007B0760">
        <w:rPr>
          <w:rFonts w:ascii="Verdana" w:hAnsi="Verdana"/>
        </w:rPr>
        <w:t xml:space="preserve">Approvato VISTO con prenotazione </w:t>
      </w:r>
      <w:r w:rsidR="007B0760" w:rsidRPr="00C3218F">
        <w:rPr>
          <w:rFonts w:ascii="Verdana" w:hAnsi="Verdana"/>
        </w:rPr>
        <w:t>n.</w:t>
      </w:r>
      <w:r w:rsidR="00E508E3" w:rsidRPr="00E508E3">
        <w:rPr>
          <w:rFonts w:ascii="Verdana" w:hAnsi="Verdana"/>
        </w:rPr>
        <w:t xml:space="preserve">2204700107 </w:t>
      </w:r>
      <w:r w:rsidR="007B0760" w:rsidRPr="00E508E3">
        <w:rPr>
          <w:rFonts w:ascii="Verdana" w:hAnsi="Verdana"/>
        </w:rPr>
        <w:t>d</w:t>
      </w:r>
      <w:r w:rsidR="007B0760" w:rsidRPr="00C06071">
        <w:rPr>
          <w:rFonts w:ascii="Verdana" w:hAnsi="Verdana"/>
        </w:rPr>
        <w:t>el giorno</w:t>
      </w:r>
      <w:r w:rsidR="007B0760">
        <w:rPr>
          <w:rFonts w:ascii="Verdana" w:hAnsi="Verdana"/>
        </w:rPr>
        <w:t xml:space="preserve"> </w:t>
      </w:r>
      <w:r w:rsidR="00E508E3">
        <w:rPr>
          <w:rFonts w:ascii="Verdana" w:hAnsi="Verdana"/>
        </w:rPr>
        <w:t>17.11.2020 p</w:t>
      </w:r>
      <w:r w:rsidR="007B0760">
        <w:rPr>
          <w:rFonts w:ascii="Verdana" w:hAnsi="Verdana"/>
        </w:rPr>
        <w:t xml:space="preserve">er </w:t>
      </w:r>
      <w:proofErr w:type="gramStart"/>
      <w:r w:rsidR="007B0760">
        <w:rPr>
          <w:rFonts w:ascii="Verdana" w:hAnsi="Verdana"/>
        </w:rPr>
        <w:t xml:space="preserve">€ </w:t>
      </w:r>
      <w:r w:rsidR="00E508E3">
        <w:rPr>
          <w:rFonts w:ascii="Verdana" w:hAnsi="Verdana"/>
        </w:rPr>
        <w:t xml:space="preserve"> </w:t>
      </w:r>
      <w:r w:rsidR="00C3218F">
        <w:rPr>
          <w:rFonts w:ascii="Verdana" w:hAnsi="Verdana"/>
        </w:rPr>
        <w:t>339.160</w:t>
      </w:r>
      <w:proofErr w:type="gramEnd"/>
      <w:r w:rsidR="00C3218F">
        <w:rPr>
          <w:rFonts w:ascii="Verdana" w:hAnsi="Verdana"/>
        </w:rPr>
        <w:t xml:space="preserve">,00 </w:t>
      </w:r>
      <w:r w:rsidR="007B0760">
        <w:rPr>
          <w:rFonts w:ascii="Verdana" w:hAnsi="Verdana"/>
        </w:rPr>
        <w:t xml:space="preserve">al capitolo 5U211201007 del Bilancio 2020. </w:t>
      </w:r>
    </w:p>
    <w:p w14:paraId="0BBBDB48" w14:textId="34FE7C22" w:rsidR="00C06071" w:rsidRDefault="00672B11" w:rsidP="00C3218F">
      <w:pPr>
        <w:spacing w:before="100" w:beforeAutospacing="1" w:after="0" w:line="240" w:lineRule="exact"/>
        <w:jc w:val="both"/>
        <w:rPr>
          <w:rFonts w:ascii="Verdana" w:hAnsi="Verdana"/>
        </w:rPr>
      </w:pPr>
      <w:r>
        <w:rPr>
          <w:rFonts w:ascii="Verdana" w:hAnsi="Verdana"/>
        </w:rPr>
        <w:t xml:space="preserve"> </w:t>
      </w:r>
      <w:r w:rsidR="007B0760">
        <w:rPr>
          <w:rFonts w:ascii="Verdana" w:hAnsi="Verdana"/>
        </w:rPr>
        <w:t>Approvato VISTO con prenotazione n.</w:t>
      </w:r>
      <w:r w:rsidR="00E508E3">
        <w:rPr>
          <w:rFonts w:ascii="Verdana" w:hAnsi="Verdana"/>
        </w:rPr>
        <w:t>2204700108 d</w:t>
      </w:r>
      <w:r w:rsidR="007B0760">
        <w:rPr>
          <w:rFonts w:ascii="Verdana" w:hAnsi="Verdana"/>
        </w:rPr>
        <w:t xml:space="preserve">el giorno </w:t>
      </w:r>
      <w:r w:rsidR="00E508E3">
        <w:rPr>
          <w:rFonts w:ascii="Verdana" w:hAnsi="Verdana"/>
        </w:rPr>
        <w:t xml:space="preserve">17.11.2020 </w:t>
      </w:r>
      <w:r w:rsidR="00C06071">
        <w:rPr>
          <w:rFonts w:ascii="Verdana" w:hAnsi="Verdana"/>
        </w:rPr>
        <w:t xml:space="preserve">per </w:t>
      </w:r>
      <w:proofErr w:type="gramStart"/>
      <w:r w:rsidR="00C06071">
        <w:rPr>
          <w:rFonts w:ascii="Verdana" w:hAnsi="Verdana"/>
        </w:rPr>
        <w:t>€</w:t>
      </w:r>
      <w:r w:rsidR="00C3218F">
        <w:rPr>
          <w:rFonts w:ascii="Verdana" w:hAnsi="Verdana"/>
        </w:rPr>
        <w:t xml:space="preserve"> </w:t>
      </w:r>
      <w:r w:rsidR="00C06071">
        <w:rPr>
          <w:rFonts w:ascii="Verdana" w:hAnsi="Verdana"/>
        </w:rPr>
        <w:t xml:space="preserve"> </w:t>
      </w:r>
      <w:r w:rsidR="00C3218F">
        <w:rPr>
          <w:rFonts w:ascii="Verdana" w:hAnsi="Verdana"/>
        </w:rPr>
        <w:t>5.560</w:t>
      </w:r>
      <w:proofErr w:type="gramEnd"/>
      <w:r w:rsidR="00C3218F">
        <w:rPr>
          <w:rFonts w:ascii="Verdana" w:hAnsi="Verdana"/>
        </w:rPr>
        <w:t xml:space="preserve">,00  al </w:t>
      </w:r>
      <w:r w:rsidR="00C06071">
        <w:rPr>
          <w:rFonts w:ascii="Verdana" w:hAnsi="Verdana"/>
        </w:rPr>
        <w:t xml:space="preserve">capitolo 5U211201007 del Bilancio 2020 (accantonamento ex art. 113- comma 2- del d.lgs.50/2016 </w:t>
      </w:r>
      <w:proofErr w:type="spellStart"/>
      <w:r w:rsidR="00C06071">
        <w:rPr>
          <w:rFonts w:ascii="Verdana" w:hAnsi="Verdana"/>
        </w:rPr>
        <w:t>ss.mm.ii</w:t>
      </w:r>
      <w:proofErr w:type="spellEnd"/>
      <w:r w:rsidR="00C06071">
        <w:rPr>
          <w:rFonts w:ascii="Verdana" w:hAnsi="Verdana"/>
        </w:rPr>
        <w:t>.)</w:t>
      </w:r>
    </w:p>
    <w:p w14:paraId="7A933982" w14:textId="77777777" w:rsidR="007B0760" w:rsidRDefault="007B0760" w:rsidP="00C3218F">
      <w:pPr>
        <w:spacing w:before="100" w:beforeAutospacing="1" w:after="0" w:line="240" w:lineRule="auto"/>
        <w:jc w:val="both"/>
        <w:rPr>
          <w:rFonts w:ascii="Verdana" w:hAnsi="Verdana"/>
        </w:rPr>
      </w:pPr>
    </w:p>
    <w:p w14:paraId="7D122BC8" w14:textId="140F1248" w:rsidR="007B0760" w:rsidRDefault="00672B11" w:rsidP="007B0760">
      <w:pPr>
        <w:spacing w:after="0" w:line="240" w:lineRule="auto"/>
        <w:jc w:val="both"/>
        <w:rPr>
          <w:rFonts w:ascii="Verdana" w:hAnsi="Verdana"/>
          <w:b/>
          <w:bCs/>
        </w:rPr>
      </w:pPr>
      <w:r>
        <w:rPr>
          <w:rFonts w:ascii="Verdana" w:hAnsi="Verdana"/>
          <w:b/>
          <w:bCs/>
        </w:rPr>
        <w:t xml:space="preserve"> </w:t>
      </w:r>
      <w:r w:rsidR="007B0760">
        <w:rPr>
          <w:rFonts w:ascii="Verdana" w:hAnsi="Verdana"/>
          <w:b/>
          <w:bCs/>
        </w:rPr>
        <w:t>Il Responsabile del Team Flussi contabili</w:t>
      </w:r>
    </w:p>
    <w:p w14:paraId="3D2685BA" w14:textId="213D15B9" w:rsidR="007B0760" w:rsidRDefault="00672B11" w:rsidP="007B0760">
      <w:pPr>
        <w:spacing w:after="0" w:line="240" w:lineRule="auto"/>
        <w:jc w:val="both"/>
        <w:rPr>
          <w:rFonts w:ascii="Verdana" w:hAnsi="Verdana"/>
          <w:b/>
          <w:bCs/>
        </w:rPr>
      </w:pPr>
      <w:r>
        <w:rPr>
          <w:rFonts w:ascii="Verdana" w:hAnsi="Verdana"/>
          <w:b/>
          <w:bCs/>
        </w:rPr>
        <w:t xml:space="preserve"> </w:t>
      </w:r>
      <w:r w:rsidR="007B0760">
        <w:rPr>
          <w:rFonts w:ascii="Verdana" w:hAnsi="Verdana"/>
          <w:b/>
          <w:bCs/>
        </w:rPr>
        <w:t xml:space="preserve">Dr. Luigi Apicella </w:t>
      </w:r>
    </w:p>
    <w:p w14:paraId="31D5FAF1" w14:textId="37A72641" w:rsidR="007B0760" w:rsidRDefault="00E508E3" w:rsidP="007B0760">
      <w:pPr>
        <w:spacing w:after="0" w:line="240" w:lineRule="auto"/>
        <w:jc w:val="both"/>
        <w:rPr>
          <w:rFonts w:ascii="Verdana" w:hAnsi="Verdana"/>
        </w:rPr>
      </w:pPr>
      <w:r>
        <w:rPr>
          <w:rFonts w:ascii="Verdana" w:hAnsi="Verdana"/>
        </w:rPr>
        <w:t xml:space="preserve">(documento firmato digitalmente)  </w:t>
      </w:r>
    </w:p>
    <w:p w14:paraId="3C217B3C" w14:textId="77777777" w:rsidR="007B0760" w:rsidRDefault="007B0760" w:rsidP="007B0760">
      <w:pPr>
        <w:spacing w:after="0" w:line="240" w:lineRule="auto"/>
        <w:jc w:val="both"/>
        <w:rPr>
          <w:rFonts w:ascii="Verdana" w:hAnsi="Verdana"/>
          <w:b/>
          <w:bCs/>
        </w:rPr>
      </w:pPr>
    </w:p>
    <w:p w14:paraId="7908ABB7" w14:textId="3F770B36" w:rsidR="007B0760" w:rsidRDefault="00672B11" w:rsidP="007B0760">
      <w:pPr>
        <w:spacing w:after="0" w:line="240" w:lineRule="auto"/>
        <w:jc w:val="both"/>
        <w:rPr>
          <w:rFonts w:ascii="Verdana" w:hAnsi="Verdana"/>
          <w:b/>
          <w:bCs/>
        </w:rPr>
      </w:pPr>
      <w:r>
        <w:rPr>
          <w:rFonts w:ascii="Verdana" w:hAnsi="Verdana"/>
          <w:b/>
          <w:bCs/>
        </w:rPr>
        <w:t xml:space="preserve"> </w:t>
      </w:r>
      <w:r w:rsidR="007B0760">
        <w:rPr>
          <w:rFonts w:ascii="Verdana" w:hAnsi="Verdana"/>
          <w:b/>
          <w:bCs/>
        </w:rPr>
        <w:t xml:space="preserve">Visto e adottato </w:t>
      </w:r>
    </w:p>
    <w:p w14:paraId="5CB08636" w14:textId="54F5E883" w:rsidR="007B0760" w:rsidRDefault="00672B11" w:rsidP="007B0760">
      <w:pPr>
        <w:spacing w:after="0" w:line="240" w:lineRule="auto"/>
        <w:jc w:val="both"/>
        <w:rPr>
          <w:rFonts w:ascii="Verdana" w:hAnsi="Verdana"/>
          <w:b/>
          <w:bCs/>
        </w:rPr>
      </w:pPr>
      <w:r>
        <w:rPr>
          <w:rFonts w:ascii="Verdana" w:hAnsi="Verdana"/>
          <w:b/>
          <w:bCs/>
        </w:rPr>
        <w:t xml:space="preserve"> </w:t>
      </w:r>
      <w:r w:rsidR="007B0760">
        <w:rPr>
          <w:rFonts w:ascii="Verdana" w:hAnsi="Verdana"/>
          <w:b/>
          <w:bCs/>
        </w:rPr>
        <w:t xml:space="preserve">Il Direttore regionale </w:t>
      </w:r>
    </w:p>
    <w:p w14:paraId="7B19B3D5" w14:textId="78E5D7E2" w:rsidR="007B0760" w:rsidRDefault="00672B11" w:rsidP="007B0760">
      <w:pPr>
        <w:spacing w:after="0" w:line="240" w:lineRule="auto"/>
        <w:jc w:val="both"/>
        <w:rPr>
          <w:rFonts w:ascii="Verdana" w:hAnsi="Verdana"/>
          <w:b/>
          <w:bCs/>
        </w:rPr>
      </w:pPr>
      <w:r>
        <w:rPr>
          <w:rFonts w:ascii="Verdana" w:hAnsi="Verdana"/>
          <w:b/>
          <w:bCs/>
        </w:rPr>
        <w:t xml:space="preserve"> </w:t>
      </w:r>
      <w:r w:rsidR="007B0760">
        <w:rPr>
          <w:rFonts w:ascii="Verdana" w:hAnsi="Verdana"/>
          <w:b/>
          <w:bCs/>
        </w:rPr>
        <w:t xml:space="preserve">Dr. Paolo Sardi </w:t>
      </w:r>
    </w:p>
    <w:p w14:paraId="29A0DBA5" w14:textId="73C1A316" w:rsidR="00E508E3" w:rsidRDefault="00E508E3" w:rsidP="00E508E3">
      <w:pPr>
        <w:spacing w:after="0" w:line="240" w:lineRule="auto"/>
        <w:jc w:val="both"/>
        <w:rPr>
          <w:rFonts w:ascii="Verdana" w:hAnsi="Verdana"/>
        </w:rPr>
      </w:pPr>
      <w:r>
        <w:rPr>
          <w:rFonts w:ascii="Verdana" w:hAnsi="Verdana"/>
        </w:rPr>
        <w:t>(d</w:t>
      </w:r>
      <w:r>
        <w:rPr>
          <w:rFonts w:ascii="Verdana" w:hAnsi="Verdana"/>
        </w:rPr>
        <w:t>ocumento firmato digital</w:t>
      </w:r>
      <w:r>
        <w:rPr>
          <w:rFonts w:ascii="Verdana" w:hAnsi="Verdana"/>
        </w:rPr>
        <w:t xml:space="preserve">mente) </w:t>
      </w:r>
      <w:r>
        <w:rPr>
          <w:rFonts w:ascii="Verdana" w:hAnsi="Verdana"/>
        </w:rPr>
        <w:t xml:space="preserve">  </w:t>
      </w:r>
    </w:p>
    <w:p w14:paraId="1B16FFB7" w14:textId="77777777" w:rsidR="00E508E3" w:rsidRDefault="00E508E3" w:rsidP="00E508E3">
      <w:pPr>
        <w:spacing w:after="0" w:line="240" w:lineRule="auto"/>
        <w:jc w:val="both"/>
        <w:rPr>
          <w:rFonts w:ascii="Verdana" w:hAnsi="Verdana"/>
          <w:b/>
          <w:bCs/>
        </w:rPr>
      </w:pPr>
    </w:p>
    <w:p w14:paraId="2CCAB7C8" w14:textId="77777777" w:rsidR="007B0760" w:rsidRDefault="007B0760" w:rsidP="007B0760">
      <w:pPr>
        <w:spacing w:after="0" w:line="240" w:lineRule="auto"/>
        <w:jc w:val="both"/>
        <w:rPr>
          <w:rFonts w:ascii="Verdana" w:hAnsi="Verdana"/>
          <w:b/>
          <w:bCs/>
        </w:rPr>
      </w:pPr>
    </w:p>
    <w:p w14:paraId="3709864F" w14:textId="77777777" w:rsidR="007B0760" w:rsidRDefault="007B0760" w:rsidP="007B0760">
      <w:pPr>
        <w:rPr>
          <w:rFonts w:ascii="Verdana" w:hAnsi="Verdana"/>
        </w:rPr>
      </w:pPr>
    </w:p>
    <w:p w14:paraId="7E3B57F8" w14:textId="77777777" w:rsidR="00361569" w:rsidRDefault="00361569" w:rsidP="00B32004">
      <w:pPr>
        <w:spacing w:after="0"/>
        <w:ind w:firstLine="708"/>
        <w:jc w:val="both"/>
        <w:rPr>
          <w:rFonts w:ascii="Verdana" w:hAnsi="Verdana"/>
          <w:b/>
          <w:bCs/>
        </w:rPr>
      </w:pPr>
    </w:p>
    <w:p w14:paraId="74B286F1" w14:textId="77777777" w:rsidR="00361569" w:rsidRDefault="00361569" w:rsidP="00B32004">
      <w:pPr>
        <w:spacing w:after="0"/>
        <w:ind w:firstLine="708"/>
        <w:jc w:val="both"/>
        <w:rPr>
          <w:rFonts w:ascii="Verdana" w:hAnsi="Verdana"/>
          <w:b/>
          <w:bCs/>
        </w:rPr>
      </w:pPr>
    </w:p>
    <w:p w14:paraId="2E42F308" w14:textId="77777777" w:rsidR="00361569" w:rsidRDefault="00361569" w:rsidP="00B32004">
      <w:pPr>
        <w:spacing w:after="0"/>
        <w:ind w:firstLine="708"/>
        <w:jc w:val="both"/>
        <w:rPr>
          <w:rFonts w:ascii="Verdana" w:hAnsi="Verdana"/>
          <w:b/>
          <w:bCs/>
        </w:rPr>
      </w:pPr>
    </w:p>
    <w:p w14:paraId="120F178B" w14:textId="77777777" w:rsidR="00361569" w:rsidRDefault="00361569" w:rsidP="00B32004">
      <w:pPr>
        <w:spacing w:after="0"/>
        <w:ind w:firstLine="708"/>
        <w:jc w:val="both"/>
        <w:rPr>
          <w:rFonts w:ascii="Verdana" w:hAnsi="Verdana"/>
          <w:b/>
          <w:bCs/>
        </w:rPr>
      </w:pPr>
    </w:p>
    <w:p w14:paraId="6E745724" w14:textId="77777777" w:rsidR="00361569" w:rsidRDefault="00361569" w:rsidP="00B32004">
      <w:pPr>
        <w:spacing w:after="0"/>
        <w:ind w:firstLine="708"/>
        <w:jc w:val="both"/>
        <w:rPr>
          <w:rFonts w:ascii="Verdana" w:hAnsi="Verdana"/>
          <w:b/>
          <w:bCs/>
        </w:rPr>
      </w:pPr>
    </w:p>
    <w:p w14:paraId="2E1ECC88" w14:textId="77777777" w:rsidR="00361569" w:rsidRDefault="00361569" w:rsidP="00B32004">
      <w:pPr>
        <w:spacing w:after="0"/>
        <w:ind w:firstLine="708"/>
        <w:jc w:val="both"/>
        <w:rPr>
          <w:rFonts w:ascii="Verdana" w:hAnsi="Verdana"/>
          <w:b/>
          <w:bCs/>
        </w:rPr>
      </w:pPr>
    </w:p>
    <w:p w14:paraId="092E290C" w14:textId="77777777" w:rsidR="00361569" w:rsidRDefault="00361569" w:rsidP="00B32004">
      <w:pPr>
        <w:spacing w:after="0"/>
        <w:ind w:firstLine="708"/>
        <w:jc w:val="both"/>
        <w:rPr>
          <w:rFonts w:ascii="Verdana" w:hAnsi="Verdana"/>
          <w:b/>
          <w:bCs/>
        </w:rPr>
      </w:pPr>
    </w:p>
    <w:p w14:paraId="206FEECA" w14:textId="77777777" w:rsidR="00B32004" w:rsidRDefault="00B32004" w:rsidP="00B32004">
      <w:pPr>
        <w:spacing w:after="0"/>
        <w:ind w:left="4956" w:firstLine="708"/>
        <w:jc w:val="both"/>
        <w:rPr>
          <w:rFonts w:ascii="Verdana" w:hAnsi="Verdana"/>
          <w:b/>
          <w:bCs/>
        </w:rPr>
      </w:pPr>
      <w:r>
        <w:rPr>
          <w:rFonts w:ascii="Verdana" w:hAnsi="Verdana"/>
          <w:b/>
          <w:bCs/>
        </w:rPr>
        <w:t>  </w:t>
      </w:r>
    </w:p>
    <w:sectPr w:rsidR="00B32004" w:rsidSect="00407472">
      <w:footerReference w:type="default" r:id="rId8"/>
      <w:pgSz w:w="11906" w:h="16838"/>
      <w:pgMar w:top="1417"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D8441" w14:textId="77777777" w:rsidR="00B47D92" w:rsidRDefault="00B47D92" w:rsidP="00B47D92">
      <w:pPr>
        <w:spacing w:after="0" w:line="240" w:lineRule="auto"/>
      </w:pPr>
      <w:r>
        <w:separator/>
      </w:r>
    </w:p>
  </w:endnote>
  <w:endnote w:type="continuationSeparator" w:id="0">
    <w:p w14:paraId="5401BA23" w14:textId="77777777" w:rsidR="00B47D92" w:rsidRDefault="00B47D92" w:rsidP="00B4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254696"/>
      <w:docPartObj>
        <w:docPartGallery w:val="Page Numbers (Bottom of Page)"/>
        <w:docPartUnique/>
      </w:docPartObj>
    </w:sdtPr>
    <w:sdtEndPr/>
    <w:sdtContent>
      <w:p w14:paraId="40A40C18" w14:textId="32F8F264" w:rsidR="00B47D92" w:rsidRDefault="00B47D92">
        <w:pPr>
          <w:pStyle w:val="Pidipagina"/>
        </w:pPr>
        <w:r>
          <w:fldChar w:fldCharType="begin"/>
        </w:r>
        <w:r>
          <w:instrText>PAGE   \* MERGEFORMAT</w:instrText>
        </w:r>
        <w:r>
          <w:fldChar w:fldCharType="separate"/>
        </w:r>
        <w:r>
          <w:t>2</w:t>
        </w:r>
        <w:r>
          <w:fldChar w:fldCharType="end"/>
        </w:r>
      </w:p>
    </w:sdtContent>
  </w:sdt>
  <w:p w14:paraId="28E232F4" w14:textId="77777777" w:rsidR="00B47D92" w:rsidRDefault="00B47D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3FD48" w14:textId="77777777" w:rsidR="00B47D92" w:rsidRDefault="00B47D92" w:rsidP="00B47D92">
      <w:pPr>
        <w:spacing w:after="0" w:line="240" w:lineRule="auto"/>
      </w:pPr>
      <w:r>
        <w:separator/>
      </w:r>
    </w:p>
  </w:footnote>
  <w:footnote w:type="continuationSeparator" w:id="0">
    <w:p w14:paraId="698A0C23" w14:textId="77777777" w:rsidR="00B47D92" w:rsidRDefault="00B47D92" w:rsidP="00B47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2F9A"/>
    <w:multiLevelType w:val="hybridMultilevel"/>
    <w:tmpl w:val="CE88D4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2912037"/>
    <w:multiLevelType w:val="hybridMultilevel"/>
    <w:tmpl w:val="3BDA640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CD321F8"/>
    <w:multiLevelType w:val="hybridMultilevel"/>
    <w:tmpl w:val="9A8C97B6"/>
    <w:lvl w:ilvl="0" w:tplc="CB8AF764">
      <w:start w:val="1"/>
      <w:numFmt w:val="decimal"/>
      <w:lvlText w:val="%1."/>
      <w:lvlJc w:val="left"/>
      <w:pPr>
        <w:ind w:left="928"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7B1A68AE"/>
    <w:multiLevelType w:val="hybridMultilevel"/>
    <w:tmpl w:val="2C08923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F9"/>
    <w:rsid w:val="00033F9A"/>
    <w:rsid w:val="0005187D"/>
    <w:rsid w:val="00083FC3"/>
    <w:rsid w:val="00084E08"/>
    <w:rsid w:val="000A5B59"/>
    <w:rsid w:val="000B5A6B"/>
    <w:rsid w:val="000F3982"/>
    <w:rsid w:val="000F65A6"/>
    <w:rsid w:val="00104415"/>
    <w:rsid w:val="001214EB"/>
    <w:rsid w:val="00123B1D"/>
    <w:rsid w:val="001C409B"/>
    <w:rsid w:val="001E3D6E"/>
    <w:rsid w:val="002063EA"/>
    <w:rsid w:val="00207154"/>
    <w:rsid w:val="0024487F"/>
    <w:rsid w:val="002B095E"/>
    <w:rsid w:val="002E5E8D"/>
    <w:rsid w:val="00331D52"/>
    <w:rsid w:val="00343063"/>
    <w:rsid w:val="0034445B"/>
    <w:rsid w:val="003508B9"/>
    <w:rsid w:val="00352FA6"/>
    <w:rsid w:val="00361569"/>
    <w:rsid w:val="00364D5C"/>
    <w:rsid w:val="003712F9"/>
    <w:rsid w:val="00380962"/>
    <w:rsid w:val="003A0B32"/>
    <w:rsid w:val="003C2BE2"/>
    <w:rsid w:val="003C2F89"/>
    <w:rsid w:val="003C588D"/>
    <w:rsid w:val="00400F17"/>
    <w:rsid w:val="00407472"/>
    <w:rsid w:val="00443A37"/>
    <w:rsid w:val="004527AE"/>
    <w:rsid w:val="0049095A"/>
    <w:rsid w:val="004A0262"/>
    <w:rsid w:val="004D1F96"/>
    <w:rsid w:val="00502DB0"/>
    <w:rsid w:val="0050322D"/>
    <w:rsid w:val="00505475"/>
    <w:rsid w:val="0052349E"/>
    <w:rsid w:val="00535D98"/>
    <w:rsid w:val="00542C37"/>
    <w:rsid w:val="00551D23"/>
    <w:rsid w:val="005D7554"/>
    <w:rsid w:val="005E306A"/>
    <w:rsid w:val="00630502"/>
    <w:rsid w:val="006527ED"/>
    <w:rsid w:val="00653A15"/>
    <w:rsid w:val="00672B11"/>
    <w:rsid w:val="0068388C"/>
    <w:rsid w:val="00684A3E"/>
    <w:rsid w:val="00697F5E"/>
    <w:rsid w:val="006B73EC"/>
    <w:rsid w:val="006C435A"/>
    <w:rsid w:val="006C4B20"/>
    <w:rsid w:val="006D65C5"/>
    <w:rsid w:val="006F3EEE"/>
    <w:rsid w:val="0070512C"/>
    <w:rsid w:val="00705DEC"/>
    <w:rsid w:val="00722DEE"/>
    <w:rsid w:val="00741825"/>
    <w:rsid w:val="007456D7"/>
    <w:rsid w:val="00763218"/>
    <w:rsid w:val="00783DDC"/>
    <w:rsid w:val="0079174A"/>
    <w:rsid w:val="007A14D4"/>
    <w:rsid w:val="007B0760"/>
    <w:rsid w:val="007C494E"/>
    <w:rsid w:val="007C7B4B"/>
    <w:rsid w:val="0080602A"/>
    <w:rsid w:val="008429A6"/>
    <w:rsid w:val="00853959"/>
    <w:rsid w:val="00857DD3"/>
    <w:rsid w:val="00870DB5"/>
    <w:rsid w:val="00884914"/>
    <w:rsid w:val="00884C90"/>
    <w:rsid w:val="00887B14"/>
    <w:rsid w:val="008A631A"/>
    <w:rsid w:val="008B2007"/>
    <w:rsid w:val="008D0C50"/>
    <w:rsid w:val="008F2AF6"/>
    <w:rsid w:val="009314DA"/>
    <w:rsid w:val="00940650"/>
    <w:rsid w:val="00982B14"/>
    <w:rsid w:val="00997C14"/>
    <w:rsid w:val="009C0E32"/>
    <w:rsid w:val="009E1497"/>
    <w:rsid w:val="009F35F4"/>
    <w:rsid w:val="009F3F35"/>
    <w:rsid w:val="00A01CA3"/>
    <w:rsid w:val="00A5420C"/>
    <w:rsid w:val="00A5475D"/>
    <w:rsid w:val="00A711A9"/>
    <w:rsid w:val="00A93F92"/>
    <w:rsid w:val="00A94970"/>
    <w:rsid w:val="00AA0F5A"/>
    <w:rsid w:val="00AA13DF"/>
    <w:rsid w:val="00AA69C7"/>
    <w:rsid w:val="00AE0220"/>
    <w:rsid w:val="00AF7839"/>
    <w:rsid w:val="00B056C8"/>
    <w:rsid w:val="00B15B32"/>
    <w:rsid w:val="00B32004"/>
    <w:rsid w:val="00B47D92"/>
    <w:rsid w:val="00B61F63"/>
    <w:rsid w:val="00B652A0"/>
    <w:rsid w:val="00B6649D"/>
    <w:rsid w:val="00B727D3"/>
    <w:rsid w:val="00BD154D"/>
    <w:rsid w:val="00BF1298"/>
    <w:rsid w:val="00C06071"/>
    <w:rsid w:val="00C125AE"/>
    <w:rsid w:val="00C2655B"/>
    <w:rsid w:val="00C3218F"/>
    <w:rsid w:val="00C52A5F"/>
    <w:rsid w:val="00C75811"/>
    <w:rsid w:val="00C759C4"/>
    <w:rsid w:val="00CB3545"/>
    <w:rsid w:val="00D20C06"/>
    <w:rsid w:val="00D232CC"/>
    <w:rsid w:val="00D32D1C"/>
    <w:rsid w:val="00D55C69"/>
    <w:rsid w:val="00D90B1E"/>
    <w:rsid w:val="00D91C7D"/>
    <w:rsid w:val="00D96726"/>
    <w:rsid w:val="00DE0D48"/>
    <w:rsid w:val="00DE73AA"/>
    <w:rsid w:val="00E01C6E"/>
    <w:rsid w:val="00E508E3"/>
    <w:rsid w:val="00E50AA0"/>
    <w:rsid w:val="00E7121C"/>
    <w:rsid w:val="00E77B8F"/>
    <w:rsid w:val="00E827BD"/>
    <w:rsid w:val="00E83D7D"/>
    <w:rsid w:val="00E87927"/>
    <w:rsid w:val="00EB7B75"/>
    <w:rsid w:val="00EE271D"/>
    <w:rsid w:val="00F064B3"/>
    <w:rsid w:val="00F66972"/>
    <w:rsid w:val="00F764C7"/>
    <w:rsid w:val="00F83A19"/>
    <w:rsid w:val="00FE0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C8A1"/>
  <w15:chartTrackingRefBased/>
  <w15:docId w15:val="{F2ABB80C-9216-430B-A380-9AF42864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32004"/>
    <w:pPr>
      <w:spacing w:after="200" w:line="276"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32004"/>
    <w:rPr>
      <w:color w:val="0563C1"/>
      <w:u w:val="single"/>
    </w:rPr>
  </w:style>
  <w:style w:type="paragraph" w:styleId="NormaleWeb">
    <w:name w:val="Normal (Web)"/>
    <w:basedOn w:val="Normale"/>
    <w:uiPriority w:val="99"/>
    <w:semiHidden/>
    <w:unhideWhenUsed/>
    <w:rsid w:val="00B32004"/>
    <w:pPr>
      <w:spacing w:before="100" w:beforeAutospacing="1" w:after="100" w:afterAutospacing="1" w:line="240" w:lineRule="auto"/>
    </w:pPr>
    <w:rPr>
      <w:lang w:eastAsia="it-IT"/>
    </w:rPr>
  </w:style>
  <w:style w:type="paragraph" w:styleId="Paragrafoelenco">
    <w:name w:val="List Paragraph"/>
    <w:basedOn w:val="Normale"/>
    <w:uiPriority w:val="34"/>
    <w:qFormat/>
    <w:rsid w:val="00B32004"/>
    <w:pPr>
      <w:ind w:left="720"/>
      <w:contextualSpacing/>
    </w:pPr>
  </w:style>
  <w:style w:type="character" w:customStyle="1" w:styleId="st">
    <w:name w:val="st"/>
    <w:basedOn w:val="Carpredefinitoparagrafo"/>
    <w:rsid w:val="00B32004"/>
  </w:style>
  <w:style w:type="paragraph" w:styleId="Intestazione">
    <w:name w:val="header"/>
    <w:basedOn w:val="Normale"/>
    <w:link w:val="IntestazioneCarattere"/>
    <w:uiPriority w:val="99"/>
    <w:unhideWhenUsed/>
    <w:rsid w:val="00B47D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7D92"/>
    <w:rPr>
      <w:rFonts w:ascii="Calibri" w:hAnsi="Calibri" w:cs="Calibri"/>
    </w:rPr>
  </w:style>
  <w:style w:type="paragraph" w:styleId="Pidipagina">
    <w:name w:val="footer"/>
    <w:basedOn w:val="Normale"/>
    <w:link w:val="PidipaginaCarattere"/>
    <w:uiPriority w:val="99"/>
    <w:unhideWhenUsed/>
    <w:rsid w:val="00B47D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7D92"/>
    <w:rPr>
      <w:rFonts w:ascii="Calibri" w:hAnsi="Calibri" w:cs="Calibri"/>
    </w:rPr>
  </w:style>
  <w:style w:type="paragraph" w:styleId="Testofumetto">
    <w:name w:val="Balloon Text"/>
    <w:basedOn w:val="Normale"/>
    <w:link w:val="TestofumettoCarattere"/>
    <w:uiPriority w:val="99"/>
    <w:semiHidden/>
    <w:unhideWhenUsed/>
    <w:rsid w:val="00653A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4818</Words>
  <Characters>27464</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Nigris Cinzia</dc:creator>
  <cp:keywords/>
  <dc:description/>
  <cp:lastModifiedBy>Nigris Cinzia</cp:lastModifiedBy>
  <cp:revision>2</cp:revision>
  <cp:lastPrinted>2020-11-17T15:33:00Z</cp:lastPrinted>
  <dcterms:created xsi:type="dcterms:W3CDTF">2020-11-17T16:28:00Z</dcterms:created>
  <dcterms:modified xsi:type="dcterms:W3CDTF">2020-11-17T16:28:00Z</dcterms:modified>
</cp:coreProperties>
</file>